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80" w:after="80"/>
      </w:pPr>
      <w:r>
        <w:rPr>
          <w:rFonts w:ascii="Calibri" w:hAnsi="Calibri"/>
          <w:b/>
          <w:color w:val="2E74B5"/>
          <w:sz w:val="20"/>
        </w:rPr>
        <w:t>INTERIM ASSESSMENT / EVALUACIÓN INTERMEDIA</w:t>
      </w:r>
    </w:p>
    <w:p>
      <w:pPr>
        <w:spacing w:after="100"/>
      </w:pPr>
      <w:r>
        <w:rPr>
          <w:rFonts w:ascii="Calibri" w:hAnsi="Calibri"/>
          <w:b/>
          <w:color w:val="0B2545"/>
          <w:sz w:val="46"/>
        </w:rPr>
        <w:t>Concurso 36/2012^</w:t>
        <w:br/>
        <w:t>Decision and AC-report continuity, 2014–2026</w:t>
      </w:r>
    </w:p>
    <w:p>
      <w:pPr>
        <w:spacing w:after="280"/>
      </w:pPr>
      <w:r>
        <w:rPr>
          <w:rFonts w:ascii="Calibri" w:hAnsi="Calibri"/>
          <w:i/>
          <w:color w:val="5E6B78"/>
          <w:sz w:val="26"/>
        </w:rPr>
        <w:t>Continuidad de resoluciones e informes de la Administración Concursal, 2014–2026</w:t>
      </w:r>
    </w:p>
    <w:p>
      <w:pPr>
        <w:spacing w:after="40"/>
      </w:pPr>
      <w:r>
        <w:rPr>
          <w:rFonts w:ascii="Calibri" w:hAnsi="Calibri"/>
          <w:b/>
          <w:color w:val="0B2545"/>
          <w:sz w:val="21"/>
        </w:rPr>
        <w:t xml:space="preserve">Control: </w:t>
      </w:r>
      <w:r>
        <w:rPr>
          <w:rFonts w:ascii="Calibri" w:hAnsi="Calibri"/>
          <w:color w:val="0B2545"/>
          <w:sz w:val="21"/>
        </w:rPr>
        <w:t>PD-C36-DECISION-CONTINUITY-20260828-01</w:t>
      </w:r>
    </w:p>
    <w:p>
      <w:pPr>
        <w:spacing w:after="40"/>
      </w:pPr>
      <w:r>
        <w:rPr>
          <w:rFonts w:ascii="Calibri" w:hAnsi="Calibri"/>
          <w:b/>
          <w:color w:val="0B2545"/>
          <w:sz w:val="21"/>
        </w:rPr>
        <w:t xml:space="preserve">Cut-off / Corte: </w:t>
      </w:r>
      <w:r>
        <w:rPr>
          <w:rFonts w:ascii="Calibri" w:hAnsi="Calibri"/>
          <w:color w:val="0B2545"/>
          <w:sz w:val="21"/>
        </w:rPr>
        <w:t>28 August / agosto 2026</w:t>
      </w:r>
    </w:p>
    <w:p>
      <w:pPr>
        <w:spacing w:after="40"/>
      </w:pPr>
      <w:r>
        <w:rPr>
          <w:rFonts w:ascii="Calibri" w:hAnsi="Calibri"/>
          <w:b/>
          <w:color w:val="0B2545"/>
          <w:sz w:val="21"/>
        </w:rPr>
        <w:t xml:space="preserve">Status / Estado: </w:t>
      </w:r>
      <w:r>
        <w:rPr>
          <w:rFonts w:ascii="Calibri" w:hAnsi="Calibri"/>
          <w:color w:val="0B2545"/>
          <w:sz w:val="21"/>
        </w:rPr>
        <w:t>PARTIAL — certified denominator and procedural families remain open</w:t>
      </w:r>
    </w:p>
    <w:p>
      <w:pPr>
        <w:spacing w:after="40"/>
      </w:pPr>
      <w:r>
        <w:rPr>
          <w:rFonts w:ascii="Calibri" w:hAnsi="Calibri"/>
          <w:b/>
          <w:color w:val="0B2545"/>
          <w:sz w:val="21"/>
        </w:rPr>
        <w:t xml:space="preserve">Publication / Publicación: </w:t>
      </w:r>
      <w:r>
        <w:rPr>
          <w:rFonts w:ascii="Calibri" w:hAnsi="Calibri"/>
          <w:color w:val="0B2545"/>
          <w:sz w:val="21"/>
        </w:rPr>
        <w:t>Local candidate only; not pushed, merged, deployed, emailed or filed</w:t>
      </w:r>
    </w:p>
    <w:p>
      <w:pPr>
        <w:pStyle w:val="Heading1"/>
      </w:pPr>
      <w:r>
        <w:t>1. Result / Resultado</w:t>
      </w:r>
    </w:p>
    <w:p>
      <w:pPr>
        <w:spacing w:before="60" w:after="120"/>
        <w:ind w:left="115" w:right="115"/>
        <w:shd w:fill="F4F6F9"/>
      </w:pPr>
      <w:r>
        <w:rPr>
          <w:rFonts w:ascii="Calibri" w:hAnsi="Calibri"/>
          <w:b/>
          <w:color w:val="1F4D78"/>
          <w:sz w:val="22"/>
        </w:rPr>
        <w:t>Controlled conclusion / Conclusión controlada</w:t>
        <w:br/>
      </w:r>
      <w:r>
        <w:rPr>
          <w:rFonts w:ascii="Calibri" w:hAnsi="Calibri"/>
          <w:color w:val="0B2545"/>
          <w:sz w:val="21"/>
        </w:rPr>
        <w:t>The public-safe audit now reconciles every canonical judicial act in the 2017–2026 complete-record catalogue. It does not establish that the whole court file or every AC report has been obtained. / La auditoría pública segura concilia ya todos los actos judiciales canónicos del catálogo 2017–2026. No acredita que se haya obtenido todo el expediente ni todos los informes de la Administración Concursal.</w:t>
      </w:r>
    </w:p>
    <w:tbl>
      <w:tblPr>
        <w:tblStyle w:val="TableGrid"/>
        <w:tblW w:type="dxa" w:w="9360"/>
        <w:tblLayout w:type="fixed"/>
        <w:tblLook w:firstColumn="1" w:firstRow="1" w:lastColumn="0" w:lastRow="0" w:noHBand="0" w:noVBand="1" w:val="04A0"/>
        <w:jc w:val="left"/>
        <w:tblInd w:w="120" w:type="dxa"/>
      </w:tblPr>
      <w:tblGrid>
        <w:gridCol w:w="4200"/>
        <w:gridCol w:w="1200"/>
        <w:gridCol w:w="3960"/>
      </w:tblGrid>
      <w:tr>
        <w:trPr>
          <w:tblHeader w:val="true"/>
          <w:cantSplit/>
        </w:trPr>
        <w:tc>
          <w:tcPr>
            <w:tcW w:type="dxa" w:w="4200"/>
            <w:tcMar>
              <w:top w:w="80" w:type="dxa"/>
              <w:start w:w="120" w:type="dxa"/>
              <w:bottom w:w="80" w:type="dxa"/>
              <w:end w:w="120" w:type="dxa"/>
            </w:tcMar>
            <w:vAlign w:val="center"/>
            <w:shd w:fill="F2F4F7"/>
          </w:tcPr>
          <w:p>
            <w:pPr>
              <w:spacing w:after="0"/>
            </w:pPr>
            <w:r>
              <w:rPr>
                <w:rFonts w:ascii="Calibri" w:hAnsi="Calibri"/>
                <w:b/>
                <w:color w:val="0B2545"/>
                <w:sz w:val="19"/>
              </w:rPr>
              <w:t>Class / Clase</w:t>
            </w:r>
          </w:p>
        </w:tc>
        <w:tc>
          <w:tcPr>
            <w:tcW w:type="dxa" w:w="1200"/>
            <w:tcMar>
              <w:top w:w="80" w:type="dxa"/>
              <w:start w:w="120" w:type="dxa"/>
              <w:bottom w:w="80" w:type="dxa"/>
              <w:end w:w="120" w:type="dxa"/>
            </w:tcMar>
            <w:vAlign w:val="center"/>
            <w:shd w:fill="F2F4F7"/>
          </w:tcPr>
          <w:p>
            <w:pPr>
              <w:spacing w:after="0"/>
            </w:pPr>
            <w:r>
              <w:rPr>
                <w:rFonts w:ascii="Calibri" w:hAnsi="Calibri"/>
                <w:b/>
                <w:color w:val="0B2545"/>
                <w:sz w:val="19"/>
              </w:rPr>
              <w:t>Count / Total</w:t>
            </w:r>
          </w:p>
        </w:tc>
        <w:tc>
          <w:tcPr>
            <w:tcW w:type="dxa" w:w="3960"/>
            <w:tcMar>
              <w:top w:w="80" w:type="dxa"/>
              <w:start w:w="120" w:type="dxa"/>
              <w:bottom w:w="80" w:type="dxa"/>
              <w:end w:w="120" w:type="dxa"/>
            </w:tcMar>
            <w:vAlign w:val="center"/>
            <w:shd w:fill="F2F4F7"/>
          </w:tcPr>
          <w:p>
            <w:pPr>
              <w:spacing w:after="0"/>
            </w:pPr>
            <w:r>
              <w:rPr>
                <w:rFonts w:ascii="Calibri" w:hAnsi="Calibri"/>
                <w:b/>
                <w:color w:val="0B2545"/>
                <w:sz w:val="19"/>
              </w:rPr>
              <w:t>Control meaning / Significado</w:t>
            </w:r>
          </w:p>
        </w:tc>
      </w:tr>
      <w:tr>
        <w:trPr>
          <w:cantSplit/>
        </w:trPr>
        <w:tc>
          <w:tcPr>
            <w:tcW w:type="dxa" w:w="4200"/>
            <w:tcMar>
              <w:top w:w="80" w:type="dxa"/>
              <w:start w:w="120" w:type="dxa"/>
              <w:bottom w:w="80" w:type="dxa"/>
              <w:end w:w="120" w:type="dxa"/>
            </w:tcMar>
            <w:vAlign w:val="center"/>
          </w:tcPr>
          <w:p>
            <w:pPr>
              <w:spacing w:after="0"/>
            </w:pPr>
            <w:r>
              <w:rPr>
                <w:rFonts w:ascii="Calibri" w:hAnsi="Calibri"/>
                <w:color w:val="0B2545"/>
                <w:sz w:val="18"/>
              </w:rPr>
              <w:t>Core primary decisions / Resoluciones centrales</w:t>
            </w:r>
          </w:p>
        </w:tc>
        <w:tc>
          <w:tcPr>
            <w:tcW w:type="dxa" w:w="1200"/>
            <w:tcMar>
              <w:top w:w="80" w:type="dxa"/>
              <w:start w:w="120" w:type="dxa"/>
              <w:bottom w:w="80" w:type="dxa"/>
              <w:end w:w="120" w:type="dxa"/>
            </w:tcMar>
            <w:vAlign w:val="center"/>
          </w:tcPr>
          <w:p>
            <w:pPr>
              <w:spacing w:after="0"/>
            </w:pPr>
            <w:r>
              <w:rPr>
                <w:rFonts w:ascii="Calibri" w:hAnsi="Calibri"/>
                <w:color w:val="0B2545"/>
                <w:sz w:val="18"/>
              </w:rPr>
              <w:t>28</w:t>
            </w:r>
          </w:p>
        </w:tc>
        <w:tc>
          <w:tcPr>
            <w:tcW w:type="dxa" w:w="3960"/>
            <w:tcMar>
              <w:top w:w="80" w:type="dxa"/>
              <w:start w:w="120" w:type="dxa"/>
              <w:bottom w:w="80" w:type="dxa"/>
              <w:end w:w="120" w:type="dxa"/>
            </w:tcMar>
            <w:vAlign w:val="center"/>
          </w:tcPr>
          <w:p>
            <w:pPr>
              <w:spacing w:after="0"/>
            </w:pPr>
            <w:r>
              <w:rPr>
                <w:rFonts w:ascii="Calibri" w:hAnsi="Calibri"/>
                <w:color w:val="0B2545"/>
                <w:sz w:val="18"/>
              </w:rPr>
              <w:t>Controlled copy, 2018–2026</w:t>
            </w:r>
          </w:p>
        </w:tc>
      </w:tr>
      <w:tr>
        <w:trPr>
          <w:cantSplit/>
        </w:trPr>
        <w:tc>
          <w:tcPr>
            <w:tcW w:type="dxa" w:w="4200"/>
            <w:tcMar>
              <w:top w:w="80" w:type="dxa"/>
              <w:start w:w="120" w:type="dxa"/>
              <w:bottom w:w="80" w:type="dxa"/>
              <w:end w:w="120" w:type="dxa"/>
            </w:tcMar>
            <w:vAlign w:val="center"/>
          </w:tcPr>
          <w:p>
            <w:pPr>
              <w:spacing w:after="0"/>
            </w:pPr>
            <w:r>
              <w:rPr>
                <w:rFonts w:ascii="Calibri" w:hAnsi="Calibri"/>
                <w:color w:val="0B2545"/>
                <w:sz w:val="18"/>
              </w:rPr>
              <w:t>Earlier in-case anchors / Anclas internas</w:t>
            </w:r>
          </w:p>
        </w:tc>
        <w:tc>
          <w:tcPr>
            <w:tcW w:type="dxa" w:w="1200"/>
            <w:tcMar>
              <w:top w:w="80" w:type="dxa"/>
              <w:start w:w="120" w:type="dxa"/>
              <w:bottom w:w="80" w:type="dxa"/>
              <w:end w:w="120" w:type="dxa"/>
            </w:tcMar>
            <w:vAlign w:val="center"/>
          </w:tcPr>
          <w:p>
            <w:pPr>
              <w:spacing w:after="0"/>
            </w:pPr>
            <w:r>
              <w:rPr>
                <w:rFonts w:ascii="Calibri" w:hAnsi="Calibri"/>
                <w:color w:val="0B2545"/>
                <w:sz w:val="18"/>
              </w:rPr>
              <w:t>4</w:t>
            </w:r>
          </w:p>
        </w:tc>
        <w:tc>
          <w:tcPr>
            <w:tcW w:type="dxa" w:w="3960"/>
            <w:tcMar>
              <w:top w:w="80" w:type="dxa"/>
              <w:start w:w="120" w:type="dxa"/>
              <w:bottom w:w="80" w:type="dxa"/>
              <w:end w:w="120" w:type="dxa"/>
            </w:tcMar>
            <w:vAlign w:val="center"/>
          </w:tcPr>
          <w:p>
            <w:pPr>
              <w:spacing w:after="0"/>
            </w:pPr>
            <w:r>
              <w:rPr>
                <w:rFonts w:ascii="Calibri" w:hAnsi="Calibri"/>
                <w:color w:val="0B2545"/>
                <w:sz w:val="18"/>
              </w:rPr>
              <w:t>Controlled copy, 2017</w:t>
            </w:r>
          </w:p>
        </w:tc>
      </w:tr>
      <w:tr>
        <w:trPr>
          <w:cantSplit/>
        </w:trPr>
        <w:tc>
          <w:tcPr>
            <w:tcW w:type="dxa" w:w="4200"/>
            <w:tcMar>
              <w:top w:w="80" w:type="dxa"/>
              <w:start w:w="120" w:type="dxa"/>
              <w:bottom w:w="80" w:type="dxa"/>
              <w:end w:w="120" w:type="dxa"/>
            </w:tcMar>
            <w:vAlign w:val="center"/>
          </w:tcPr>
          <w:p>
            <w:pPr>
              <w:spacing w:after="0"/>
            </w:pPr>
            <w:r>
              <w:rPr>
                <w:rFonts w:ascii="Calibri" w:hAnsi="Calibri"/>
                <w:color w:val="0B2545"/>
                <w:sz w:val="18"/>
              </w:rPr>
              <w:t>Contextual decisions / Resoluciones contextuales</w:t>
            </w:r>
          </w:p>
        </w:tc>
        <w:tc>
          <w:tcPr>
            <w:tcW w:type="dxa" w:w="1200"/>
            <w:tcMar>
              <w:top w:w="80" w:type="dxa"/>
              <w:start w:w="120" w:type="dxa"/>
              <w:bottom w:w="80" w:type="dxa"/>
              <w:end w:w="120" w:type="dxa"/>
            </w:tcMar>
            <w:vAlign w:val="center"/>
          </w:tcPr>
          <w:p>
            <w:pPr>
              <w:spacing w:after="0"/>
            </w:pPr>
            <w:r>
              <w:rPr>
                <w:rFonts w:ascii="Calibri" w:hAnsi="Calibri"/>
                <w:color w:val="0B2545"/>
                <w:sz w:val="18"/>
              </w:rPr>
              <w:t>2</w:t>
            </w:r>
          </w:p>
        </w:tc>
        <w:tc>
          <w:tcPr>
            <w:tcW w:type="dxa" w:w="3960"/>
            <w:tcMar>
              <w:top w:w="80" w:type="dxa"/>
              <w:start w:w="120" w:type="dxa"/>
              <w:bottom w:w="80" w:type="dxa"/>
              <w:end w:w="120" w:type="dxa"/>
            </w:tcMar>
            <w:vAlign w:val="center"/>
          </w:tcPr>
          <w:p>
            <w:pPr>
              <w:spacing w:after="0"/>
            </w:pPr>
            <w:r>
              <w:rPr>
                <w:rFonts w:ascii="Calibri" w:hAnsi="Calibri"/>
                <w:color w:val="0B2545"/>
                <w:sz w:val="18"/>
              </w:rPr>
              <w:t>Separate civil/derivative lanes</w:t>
            </w:r>
          </w:p>
        </w:tc>
      </w:tr>
      <w:tr>
        <w:trPr>
          <w:cantSplit/>
        </w:trPr>
        <w:tc>
          <w:tcPr>
            <w:tcW w:type="dxa" w:w="4200"/>
            <w:tcMar>
              <w:top w:w="80" w:type="dxa"/>
              <w:start w:w="120" w:type="dxa"/>
              <w:bottom w:w="80" w:type="dxa"/>
              <w:end w:w="120" w:type="dxa"/>
            </w:tcMar>
            <w:vAlign w:val="center"/>
          </w:tcPr>
          <w:p>
            <w:pPr>
              <w:spacing w:after="0"/>
            </w:pPr>
            <w:r>
              <w:rPr>
                <w:rFonts w:ascii="Calibri" w:hAnsi="Calibri"/>
                <w:color w:val="0B2545"/>
                <w:sz w:val="18"/>
              </w:rPr>
              <w:t>Court-office acts / Actos de oficina judicial</w:t>
            </w:r>
          </w:p>
        </w:tc>
        <w:tc>
          <w:tcPr>
            <w:tcW w:type="dxa" w:w="1200"/>
            <w:tcMar>
              <w:top w:w="80" w:type="dxa"/>
              <w:start w:w="120" w:type="dxa"/>
              <w:bottom w:w="80" w:type="dxa"/>
              <w:end w:w="120" w:type="dxa"/>
            </w:tcMar>
            <w:vAlign w:val="center"/>
          </w:tcPr>
          <w:p>
            <w:pPr>
              <w:spacing w:after="0"/>
            </w:pPr>
            <w:r>
              <w:rPr>
                <w:rFonts w:ascii="Calibri" w:hAnsi="Calibri"/>
                <w:color w:val="0B2545"/>
                <w:sz w:val="18"/>
              </w:rPr>
              <w:t>2</w:t>
            </w:r>
          </w:p>
        </w:tc>
        <w:tc>
          <w:tcPr>
            <w:tcW w:type="dxa" w:w="3960"/>
            <w:tcMar>
              <w:top w:w="80" w:type="dxa"/>
              <w:start w:w="120" w:type="dxa"/>
              <w:bottom w:w="80" w:type="dxa"/>
              <w:end w:w="120" w:type="dxa"/>
            </w:tcMar>
            <w:vAlign w:val="center"/>
          </w:tcPr>
          <w:p>
            <w:pPr>
              <w:spacing w:after="0"/>
            </w:pPr>
            <w:r>
              <w:rPr>
                <w:rFonts w:ascii="Calibri" w:hAnsi="Calibri"/>
                <w:color w:val="0B2545"/>
                <w:sz w:val="18"/>
              </w:rPr>
              <w:t>Copy controlled; family incomplete</w:t>
            </w:r>
          </w:p>
        </w:tc>
      </w:tr>
      <w:tr>
        <w:trPr>
          <w:cantSplit/>
        </w:trPr>
        <w:tc>
          <w:tcPr>
            <w:tcW w:type="dxa" w:w="4200"/>
            <w:tcMar>
              <w:top w:w="80" w:type="dxa"/>
              <w:start w:w="120" w:type="dxa"/>
              <w:bottom w:w="80" w:type="dxa"/>
              <w:end w:w="120" w:type="dxa"/>
            </w:tcMar>
            <w:vAlign w:val="center"/>
          </w:tcPr>
          <w:p>
            <w:pPr>
              <w:spacing w:after="0"/>
            </w:pPr>
            <w:r>
              <w:rPr>
                <w:rFonts w:ascii="Calibri" w:hAnsi="Calibri"/>
                <w:color w:val="0B2545"/>
                <w:sz w:val="18"/>
              </w:rPr>
              <w:t>Open or partial families / Familias abiertas</w:t>
            </w:r>
          </w:p>
        </w:tc>
        <w:tc>
          <w:tcPr>
            <w:tcW w:type="dxa" w:w="1200"/>
            <w:tcMar>
              <w:top w:w="80" w:type="dxa"/>
              <w:start w:w="120" w:type="dxa"/>
              <w:bottom w:w="80" w:type="dxa"/>
              <w:end w:w="120" w:type="dxa"/>
            </w:tcMar>
            <w:vAlign w:val="center"/>
          </w:tcPr>
          <w:p>
            <w:pPr>
              <w:spacing w:after="0"/>
            </w:pPr>
            <w:r>
              <w:rPr>
                <w:rFonts w:ascii="Calibri" w:hAnsi="Calibri"/>
                <w:color w:val="0B2545"/>
                <w:sz w:val="18"/>
              </w:rPr>
              <w:t>15</w:t>
            </w:r>
          </w:p>
        </w:tc>
        <w:tc>
          <w:tcPr>
            <w:tcW w:type="dxa" w:w="3960"/>
            <w:tcMar>
              <w:top w:w="80" w:type="dxa"/>
              <w:start w:w="120" w:type="dxa"/>
              <w:bottom w:w="80" w:type="dxa"/>
              <w:end w:w="120" w:type="dxa"/>
            </w:tcMar>
            <w:vAlign w:val="center"/>
          </w:tcPr>
          <w:p>
            <w:pPr>
              <w:spacing w:after="0"/>
            </w:pPr>
            <w:r>
              <w:rPr>
                <w:rFonts w:ascii="Calibri" w:hAnsi="Calibri"/>
                <w:color w:val="0B2545"/>
                <w:sz w:val="18"/>
              </w:rPr>
              <w:t>Primary act or family still incomplete</w:t>
            </w:r>
          </w:p>
        </w:tc>
      </w:tr>
      <w:tr>
        <w:trPr>
          <w:cantSplit/>
        </w:trPr>
        <w:tc>
          <w:tcPr>
            <w:tcW w:type="dxa" w:w="4200"/>
            <w:tcMar>
              <w:top w:w="80" w:type="dxa"/>
              <w:start w:w="120" w:type="dxa"/>
              <w:bottom w:w="80" w:type="dxa"/>
              <w:end w:w="120" w:type="dxa"/>
            </w:tcMar>
            <w:vAlign w:val="center"/>
          </w:tcPr>
          <w:p>
            <w:pPr>
              <w:spacing w:after="0"/>
            </w:pPr>
            <w:r>
              <w:rPr>
                <w:rFonts w:ascii="Calibri" w:hAnsi="Calibri"/>
                <w:color w:val="0B2545"/>
                <w:sz w:val="18"/>
              </w:rPr>
              <w:t>Total audit rows / Filas totales</w:t>
            </w:r>
          </w:p>
        </w:tc>
        <w:tc>
          <w:tcPr>
            <w:tcW w:type="dxa" w:w="1200"/>
            <w:tcMar>
              <w:top w:w="80" w:type="dxa"/>
              <w:start w:w="120" w:type="dxa"/>
              <w:bottom w:w="80" w:type="dxa"/>
              <w:end w:w="120" w:type="dxa"/>
            </w:tcMar>
            <w:vAlign w:val="center"/>
          </w:tcPr>
          <w:p>
            <w:pPr>
              <w:spacing w:after="0"/>
            </w:pPr>
            <w:r>
              <w:rPr>
                <w:rFonts w:ascii="Calibri" w:hAnsi="Calibri"/>
                <w:color w:val="0B2545"/>
                <w:sz w:val="18"/>
              </w:rPr>
              <w:t>51</w:t>
            </w:r>
          </w:p>
        </w:tc>
        <w:tc>
          <w:tcPr>
            <w:tcW w:type="dxa" w:w="3960"/>
            <w:tcMar>
              <w:top w:w="80" w:type="dxa"/>
              <w:start w:w="120" w:type="dxa"/>
              <w:bottom w:w="80" w:type="dxa"/>
              <w:end w:w="120" w:type="dxa"/>
            </w:tcMar>
            <w:vAlign w:val="center"/>
          </w:tcPr>
          <w:p>
            <w:pPr>
              <w:spacing w:after="0"/>
            </w:pPr>
            <w:r>
              <w:rPr>
                <w:rFonts w:ascii="Calibri" w:hAnsi="Calibri"/>
                <w:color w:val="0B2545"/>
                <w:sz w:val="18"/>
              </w:rPr>
              <w:t>Same-date acts remain separate</w:t>
            </w:r>
          </w:p>
        </w:tc>
      </w:tr>
    </w:tbl>
    <w:p>
      <w:pPr>
        <w:spacing w:before="80" w:after="80"/>
      </w:pPr>
      <w:r>
        <w:rPr>
          <w:rFonts w:ascii="Calibri" w:hAnsi="Calibri"/>
          <w:b/>
          <w:color w:val="5E6B78"/>
          <w:sz w:val="19"/>
        </w:rPr>
        <w:t xml:space="preserve">Source note / Nota de fuente: </w:t>
      </w:r>
      <w:r>
        <w:rPr>
          <w:rFonts w:ascii="Calibri" w:hAnsi="Calibri"/>
          <w:color w:val="5E6B78"/>
          <w:sz w:val="19"/>
        </w:rPr>
        <w:t>Repository records and connected Google Drive discovery were reviewed. Canonical inventories also preserve prior email-derived source control. No private provider ID, URL, address or filename is reproduced here.</w:t>
      </w:r>
    </w:p>
    <w:p>
      <w:r>
        <w:br w:type="page"/>
      </w:r>
    </w:p>
    <w:p>
      <w:pPr>
        <w:pStyle w:val="Heading1"/>
      </w:pPr>
      <w:r>
        <w:t>2. Material corrections / Correcciones materiales</w:t>
      </w:r>
    </w:p>
    <w:tbl>
      <w:tblPr>
        <w:tblStyle w:val="TableGrid"/>
        <w:tblW w:type="dxa" w:w="9360"/>
        <w:tblLayout w:type="fixed"/>
        <w:tblLook w:firstColumn="1" w:firstRow="1" w:lastColumn="0" w:lastRow="0" w:noHBand="0" w:noVBand="1" w:val="04A0"/>
        <w:jc w:val="left"/>
        <w:tblInd w:w="120" w:type="dxa"/>
      </w:tblPr>
      <w:tblGrid>
        <w:gridCol w:w="2200"/>
        <w:gridCol w:w="7160"/>
      </w:tblGrid>
      <w:tr>
        <w:trPr>
          <w:tblHeader w:val="true"/>
          <w:cantSplit/>
        </w:trPr>
        <w:tc>
          <w:tcPr>
            <w:tcW w:type="dxa" w:w="2200"/>
            <w:tcMar>
              <w:top w:w="80" w:type="dxa"/>
              <w:start w:w="120" w:type="dxa"/>
              <w:bottom w:w="80" w:type="dxa"/>
              <w:end w:w="120" w:type="dxa"/>
            </w:tcMar>
            <w:vAlign w:val="center"/>
            <w:shd w:fill="F2F4F7"/>
          </w:tcPr>
          <w:p>
            <w:pPr>
              <w:spacing w:after="0"/>
            </w:pPr>
            <w:r>
              <w:rPr>
                <w:rFonts w:ascii="Calibri" w:hAnsi="Calibri"/>
                <w:b/>
                <w:color w:val="0B2545"/>
                <w:sz w:val="19"/>
              </w:rPr>
              <w:t>Issue / Tema</w:t>
            </w:r>
          </w:p>
        </w:tc>
        <w:tc>
          <w:tcPr>
            <w:tcW w:type="dxa" w:w="7160"/>
            <w:tcMar>
              <w:top w:w="80" w:type="dxa"/>
              <w:start w:w="120" w:type="dxa"/>
              <w:bottom w:w="80" w:type="dxa"/>
              <w:end w:w="120" w:type="dxa"/>
            </w:tcMar>
            <w:vAlign w:val="center"/>
            <w:shd w:fill="F2F4F7"/>
          </w:tcPr>
          <w:p>
            <w:pPr>
              <w:spacing w:after="0"/>
            </w:pPr>
            <w:r>
              <w:rPr>
                <w:rFonts w:ascii="Calibri" w:hAnsi="Calibri"/>
                <w:b/>
                <w:color w:val="0B2545"/>
                <w:sz w:val="19"/>
              </w:rPr>
              <w:t>Correction / Corrección</w:t>
            </w:r>
          </w:p>
        </w:tc>
      </w:tr>
      <w:tr>
        <w:trPr>
          <w:cantSplit/>
        </w:trPr>
        <w:tc>
          <w:tcPr>
            <w:tcW w:type="dxa" w:w="2200"/>
            <w:tcMar>
              <w:top w:w="80" w:type="dxa"/>
              <w:start w:w="120" w:type="dxa"/>
              <w:bottom w:w="80" w:type="dxa"/>
              <w:end w:w="120" w:type="dxa"/>
            </w:tcMar>
            <w:vAlign w:val="center"/>
          </w:tcPr>
          <w:p>
            <w:pPr>
              <w:spacing w:after="0"/>
            </w:pPr>
            <w:r>
              <w:rPr>
                <w:rFonts w:ascii="Calibri" w:hAnsi="Calibri"/>
                <w:color w:val="0B2545"/>
                <w:sz w:val="18"/>
              </w:rPr>
              <w:t>2017 anchors</w:t>
            </w:r>
          </w:p>
        </w:tc>
        <w:tc>
          <w:tcPr>
            <w:tcW w:type="dxa" w:w="7160"/>
            <w:tcMar>
              <w:top w:w="80" w:type="dxa"/>
              <w:start w:w="120" w:type="dxa"/>
              <w:bottom w:w="80" w:type="dxa"/>
              <w:end w:w="120" w:type="dxa"/>
            </w:tcMar>
            <w:vAlign w:val="center"/>
          </w:tcPr>
          <w:p>
            <w:pPr>
              <w:spacing w:after="0"/>
            </w:pPr>
            <w:r>
              <w:rPr>
                <w:rFonts w:ascii="Calibri" w:hAnsi="Calibri"/>
                <w:color w:val="0B2545"/>
                <w:sz w:val="18"/>
              </w:rPr>
              <w:t>Added C36-E002 and preserved the 22 March, 5 May and 19 December decisions as four earlier in-case anchors.</w:t>
            </w:r>
          </w:p>
        </w:tc>
      </w:tr>
      <w:tr>
        <w:trPr>
          <w:cantSplit/>
        </w:trPr>
        <w:tc>
          <w:tcPr>
            <w:tcW w:type="dxa" w:w="2200"/>
            <w:tcMar>
              <w:top w:w="80" w:type="dxa"/>
              <w:start w:w="120" w:type="dxa"/>
              <w:bottom w:w="80" w:type="dxa"/>
              <w:end w:w="120" w:type="dxa"/>
            </w:tcMar>
            <w:vAlign w:val="center"/>
          </w:tcPr>
          <w:p>
            <w:pPr>
              <w:spacing w:after="0"/>
            </w:pPr>
            <w:r>
              <w:rPr>
                <w:rFonts w:ascii="Calibri" w:hAnsi="Calibri"/>
                <w:color w:val="0B2545"/>
                <w:sz w:val="18"/>
              </w:rPr>
              <w:t>8/15 February 2018</w:t>
            </w:r>
          </w:p>
        </w:tc>
        <w:tc>
          <w:tcPr>
            <w:tcW w:type="dxa" w:w="7160"/>
            <w:tcMar>
              <w:top w:w="80" w:type="dxa"/>
              <w:start w:w="120" w:type="dxa"/>
              <w:bottom w:w="80" w:type="dxa"/>
              <w:end w:w="120" w:type="dxa"/>
            </w:tcMar>
            <w:vAlign w:val="center"/>
          </w:tcPr>
          <w:p>
            <w:pPr>
              <w:spacing w:after="0"/>
            </w:pPr>
            <w:r>
              <w:rPr>
                <w:rFonts w:ascii="Calibri" w:hAnsi="Calibri"/>
                <w:color w:val="0B2545"/>
                <w:sz w:val="18"/>
              </w:rPr>
              <w:t>Removed the unsupported second-act row. One C36-E007 act remains under 15 February repository control; body/recital and signature date layers require direct reinspection.</w:t>
            </w:r>
          </w:p>
        </w:tc>
      </w:tr>
      <w:tr>
        <w:trPr>
          <w:cantSplit/>
        </w:trPr>
        <w:tc>
          <w:tcPr>
            <w:tcW w:type="dxa" w:w="2200"/>
            <w:tcMar>
              <w:top w:w="80" w:type="dxa"/>
              <w:start w:w="120" w:type="dxa"/>
              <w:bottom w:w="80" w:type="dxa"/>
              <w:end w:w="120" w:type="dxa"/>
            </w:tcMar>
            <w:vAlign w:val="center"/>
          </w:tcPr>
          <w:p>
            <w:pPr>
              <w:spacing w:after="0"/>
            </w:pPr>
            <w:r>
              <w:rPr>
                <w:rFonts w:ascii="Calibri" w:hAnsi="Calibri"/>
                <w:color w:val="0B2545"/>
                <w:sz w:val="18"/>
              </w:rPr>
              <w:t>Controlled omissions</w:t>
            </w:r>
          </w:p>
        </w:tc>
        <w:tc>
          <w:tcPr>
            <w:tcW w:type="dxa" w:w="7160"/>
            <w:tcMar>
              <w:top w:w="80" w:type="dxa"/>
              <w:start w:w="120" w:type="dxa"/>
              <w:bottom w:w="80" w:type="dxa"/>
              <w:end w:w="120" w:type="dxa"/>
            </w:tcMar>
            <w:vAlign w:val="center"/>
          </w:tcPr>
          <w:p>
            <w:pPr>
              <w:spacing w:after="0"/>
            </w:pPr>
            <w:r>
              <w:rPr>
                <w:rFonts w:ascii="Calibri" w:hAnsi="Calibri"/>
                <w:color w:val="0B2545"/>
                <w:sz w:val="18"/>
              </w:rPr>
              <w:t>Restored C36-E009, E030, E035, E039, E040, E042 and R26 from canonical sources.</w:t>
            </w:r>
          </w:p>
        </w:tc>
      </w:tr>
      <w:tr>
        <w:trPr>
          <w:cantSplit/>
        </w:trPr>
        <w:tc>
          <w:tcPr>
            <w:tcW w:type="dxa" w:w="2200"/>
            <w:tcMar>
              <w:top w:w="80" w:type="dxa"/>
              <w:start w:w="120" w:type="dxa"/>
              <w:bottom w:w="80" w:type="dxa"/>
              <w:end w:w="120" w:type="dxa"/>
            </w:tcMar>
            <w:vAlign w:val="center"/>
          </w:tcPr>
          <w:p>
            <w:pPr>
              <w:spacing w:after="0"/>
            </w:pPr>
            <w:r>
              <w:rPr>
                <w:rFonts w:ascii="Calibri" w:hAnsi="Calibri"/>
                <w:color w:val="0B2545"/>
                <w:sz w:val="18"/>
              </w:rPr>
              <w:t>Same-date acts</w:t>
            </w:r>
          </w:p>
        </w:tc>
        <w:tc>
          <w:tcPr>
            <w:tcW w:type="dxa" w:w="7160"/>
            <w:tcMar>
              <w:top w:w="80" w:type="dxa"/>
              <w:start w:w="120" w:type="dxa"/>
              <w:bottom w:w="80" w:type="dxa"/>
              <w:end w:w="120" w:type="dxa"/>
            </w:tcMar>
            <w:vAlign w:val="center"/>
          </w:tcPr>
          <w:p>
            <w:pPr>
              <w:spacing w:after="0"/>
            </w:pPr>
            <w:r>
              <w:rPr>
                <w:rFonts w:ascii="Calibri" w:hAnsi="Calibri"/>
                <w:color w:val="0B2545"/>
                <w:sz w:val="18"/>
              </w:rPr>
              <w:t>Separated eight pairs: 16 Apr 2018; 24 Oct 2019; 12 May 2020; 24 Feb 2021; 6 May, 15 Oct 2021; 26 Jan 2022; 12 Sep 2025.</w:t>
            </w:r>
          </w:p>
        </w:tc>
      </w:tr>
      <w:tr>
        <w:trPr>
          <w:cantSplit/>
        </w:trPr>
        <w:tc>
          <w:tcPr>
            <w:tcW w:type="dxa" w:w="2200"/>
            <w:tcMar>
              <w:top w:w="80" w:type="dxa"/>
              <w:start w:w="120" w:type="dxa"/>
              <w:bottom w:w="80" w:type="dxa"/>
              <w:end w:w="120" w:type="dxa"/>
            </w:tcMar>
            <w:vAlign w:val="center"/>
          </w:tcPr>
          <w:p>
            <w:pPr>
              <w:spacing w:after="0"/>
            </w:pPr>
            <w:r>
              <w:rPr>
                <w:rFonts w:ascii="Calibri" w:hAnsi="Calibri"/>
                <w:color w:val="0B2545"/>
                <w:sz w:val="18"/>
              </w:rPr>
              <w:t>18 May 2021</w:t>
            </w:r>
          </w:p>
        </w:tc>
        <w:tc>
          <w:tcPr>
            <w:tcW w:type="dxa" w:w="7160"/>
            <w:tcMar>
              <w:top w:w="80" w:type="dxa"/>
              <w:start w:w="120" w:type="dxa"/>
              <w:bottom w:w="80" w:type="dxa"/>
              <w:end w:w="120" w:type="dxa"/>
            </w:tcMar>
            <w:vAlign w:val="center"/>
          </w:tcPr>
          <w:p>
            <w:pPr>
              <w:spacing w:after="0"/>
            </w:pPr>
            <w:r>
              <w:rPr>
                <w:rFonts w:ascii="Calibri" w:hAnsi="Calibri"/>
                <w:color w:val="0B2545"/>
                <w:sz w:val="18"/>
              </w:rPr>
              <w:t>Reports the operative approval wording without treating the copy itself as proof of service, review or procedural finality.</w:t>
            </w:r>
          </w:p>
        </w:tc>
      </w:tr>
      <w:tr>
        <w:trPr>
          <w:cantSplit/>
        </w:trPr>
        <w:tc>
          <w:tcPr>
            <w:tcW w:type="dxa" w:w="2200"/>
            <w:tcMar>
              <w:top w:w="80" w:type="dxa"/>
              <w:start w:w="120" w:type="dxa"/>
              <w:bottom w:w="80" w:type="dxa"/>
              <w:end w:w="120" w:type="dxa"/>
            </w:tcMar>
            <w:vAlign w:val="center"/>
          </w:tcPr>
          <w:p>
            <w:pPr>
              <w:spacing w:after="0"/>
            </w:pPr>
            <w:r>
              <w:rPr>
                <w:rFonts w:ascii="Calibri" w:hAnsi="Calibri"/>
                <w:color w:val="0B2545"/>
                <w:sz w:val="18"/>
              </w:rPr>
              <w:t>2022 judicial leads</w:t>
            </w:r>
          </w:p>
        </w:tc>
        <w:tc>
          <w:tcPr>
            <w:tcW w:type="dxa" w:w="7160"/>
            <w:tcMar>
              <w:top w:w="80" w:type="dxa"/>
              <w:start w:w="120" w:type="dxa"/>
              <w:bottom w:w="80" w:type="dxa"/>
              <w:end w:w="120" w:type="dxa"/>
            </w:tcMar>
            <w:vAlign w:val="center"/>
          </w:tcPr>
          <w:p>
            <w:pPr>
              <w:spacing w:after="0"/>
            </w:pPr>
            <w:r>
              <w:rPr>
                <w:rFonts w:ascii="Calibri" w:hAnsi="Calibri"/>
                <w:color w:val="0B2545"/>
                <w:sz w:val="18"/>
              </w:rPr>
              <w:t>Gives separate open rows to E056, E060, E062 and E063 and keeps complaints 375/379 separate.</w:t>
            </w:r>
          </w:p>
        </w:tc>
      </w:tr>
      <w:tr>
        <w:trPr>
          <w:cantSplit/>
        </w:trPr>
        <w:tc>
          <w:tcPr>
            <w:tcW w:type="dxa" w:w="2200"/>
            <w:tcMar>
              <w:top w:w="80" w:type="dxa"/>
              <w:start w:w="120" w:type="dxa"/>
              <w:bottom w:w="80" w:type="dxa"/>
              <w:end w:w="120" w:type="dxa"/>
            </w:tcMar>
            <w:vAlign w:val="center"/>
          </w:tcPr>
          <w:p>
            <w:pPr>
              <w:spacing w:after="0"/>
            </w:pPr>
            <w:r>
              <w:rPr>
                <w:rFonts w:ascii="Calibri" w:hAnsi="Calibri"/>
                <w:color w:val="0B2545"/>
                <w:sz w:val="18"/>
              </w:rPr>
              <w:t>Constitutional Court</w:t>
            </w:r>
          </w:p>
        </w:tc>
        <w:tc>
          <w:tcPr>
            <w:tcW w:type="dxa" w:w="7160"/>
            <w:tcMar>
              <w:top w:w="80" w:type="dxa"/>
              <w:start w:w="120" w:type="dxa"/>
              <w:bottom w:w="80" w:type="dxa"/>
              <w:end w:w="120" w:type="dxa"/>
            </w:tcMar>
            <w:vAlign w:val="center"/>
          </w:tcPr>
          <w:p>
            <w:pPr>
              <w:spacing w:after="0"/>
            </w:pPr>
            <w:r>
              <w:rPr>
                <w:rFonts w:ascii="Calibri" w:hAnsi="Calibri"/>
                <w:color w:val="0B2545"/>
                <w:sz w:val="18"/>
              </w:rPr>
              <w:t>Treats the 2811/2023 inadmission date as reported and unconfirmed until the official decision is obtained.</w:t>
            </w:r>
          </w:p>
        </w:tc>
      </w:tr>
      <w:tr>
        <w:trPr>
          <w:cantSplit/>
        </w:trPr>
        <w:tc>
          <w:tcPr>
            <w:tcW w:type="dxa" w:w="2200"/>
            <w:tcMar>
              <w:top w:w="80" w:type="dxa"/>
              <w:start w:w="120" w:type="dxa"/>
              <w:bottom w:w="80" w:type="dxa"/>
              <w:end w:w="120" w:type="dxa"/>
            </w:tcMar>
            <w:vAlign w:val="center"/>
          </w:tcPr>
          <w:p>
            <w:pPr>
              <w:spacing w:after="0"/>
            </w:pPr>
            <w:r>
              <w:rPr>
                <w:rFonts w:ascii="Calibri" w:hAnsi="Calibri"/>
                <w:color w:val="0B2545"/>
                <w:sz w:val="18"/>
              </w:rPr>
              <w:t>Separate proceedings</w:t>
            </w:r>
          </w:p>
        </w:tc>
        <w:tc>
          <w:tcPr>
            <w:tcW w:type="dxa" w:w="7160"/>
            <w:tcMar>
              <w:top w:w="80" w:type="dxa"/>
              <w:start w:w="120" w:type="dxa"/>
              <w:bottom w:w="80" w:type="dxa"/>
              <w:end w:w="120" w:type="dxa"/>
            </w:tcMar>
            <w:vAlign w:val="center"/>
          </w:tcPr>
          <w:p>
            <w:pPr>
              <w:spacing w:after="0"/>
            </w:pPr>
            <w:r>
              <w:rPr>
                <w:rFonts w:ascii="Calibri" w:hAnsi="Calibri"/>
                <w:color w:val="0B2545"/>
                <w:sz w:val="18"/>
              </w:rPr>
              <w:t>Keeps Judgment 89/2014 and Judgment 4/2026 contextual and outside the in-docket core count.</w:t>
            </w:r>
          </w:p>
        </w:tc>
      </w:tr>
    </w:tbl>
    <w:p>
      <w:pPr>
        <w:pStyle w:val="Heading1"/>
      </w:pPr>
      <w:r>
        <w:t>3. Decision-continuity assessment / Evaluación de resoluciones</w:t>
      </w:r>
    </w:p>
    <w:p>
      <w:pPr>
        <w:pStyle w:val="ListBullet"/>
      </w:pPr>
      <w:r>
        <w:rPr>
          <w:rFonts w:ascii="Calibri" w:hAnsi="Calibri"/>
          <w:color w:val="0B2545"/>
          <w:sz w:val="22"/>
        </w:rPr>
        <w:t>All 39 canonical judicial acts dated 2017–2026 in the complete-record catalogue are represented exactly once in the 51-row projection.</w:t>
      </w:r>
    </w:p>
    <w:p>
      <w:pPr>
        <w:pStyle w:val="ListBullet"/>
      </w:pPr>
      <w:r>
        <w:rPr>
          <w:rFonts w:ascii="Calibri" w:hAnsi="Calibri"/>
          <w:color w:val="0B2545"/>
          <w:sz w:val="22"/>
        </w:rPr>
        <w:t>The 28 core decisions are controlled copies in the 2018–2026 Insolvency spine; the four 2017 acts are earlier anchors, and the two contextual decisions remain outside that count.</w:t>
      </w:r>
    </w:p>
    <w:p>
      <w:pPr>
        <w:pStyle w:val="ListBullet"/>
      </w:pPr>
      <w:r>
        <w:rPr>
          <w:rFonts w:ascii="Calibri" w:hAnsi="Calibri"/>
          <w:color w:val="0B2545"/>
          <w:sz w:val="22"/>
        </w:rPr>
        <w:t>The 25 October 2021 Diligencia is verified/partial; the signed 27 October 2021 Diligencia is controlled. Their underlying filing, testimony and report families remain incomplete.</w:t>
      </w:r>
    </w:p>
    <w:p>
      <w:pPr>
        <w:pStyle w:val="ListBullet"/>
      </w:pPr>
      <w:r>
        <w:rPr>
          <w:rFonts w:ascii="Calibri" w:hAnsi="Calibri"/>
          <w:color w:val="0B2545"/>
          <w:sz w:val="22"/>
        </w:rPr>
        <w:t>The 2014–2016 discovery rows and the year-only 2022 complaints row are declared aggregation exceptions until individual originals can be authenticated.</w:t>
      </w:r>
    </w:p>
    <w:p>
      <w:pPr>
        <w:pStyle w:val="ListBullet"/>
      </w:pPr>
      <w:r>
        <w:rPr>
          <w:rFonts w:ascii="Calibri" w:hAnsi="Calibri"/>
          <w:color w:val="0B2545"/>
          <w:sz w:val="22"/>
        </w:rPr>
        <w:t>‘Not located’ means absent from the controlled corpus; it never means nonexistent without a certified denominator.</w:t>
      </w:r>
    </w:p>
    <w:p>
      <w:r>
        <w:br w:type="page"/>
      </w:r>
    </w:p>
    <w:p>
      <w:pPr>
        <w:pStyle w:val="Heading1"/>
      </w:pPr>
      <w:r>
        <w:t>4. AC-report continuity / Continuidad de informes AC</w:t>
      </w:r>
    </w:p>
    <w:p>
      <w:pPr>
        <w:spacing w:before="60" w:after="120"/>
        <w:ind w:left="115" w:right="115"/>
        <w:shd w:fill="FFF8E8"/>
      </w:pPr>
      <w:r>
        <w:rPr>
          <w:rFonts w:ascii="Calibri" w:hAnsi="Calibri"/>
          <w:b/>
          <w:color w:val="1F4D78"/>
          <w:sz w:val="22"/>
        </w:rPr>
        <w:t>Partial series / Serie parcial</w:t>
        <w:br/>
      </w:r>
      <w:r>
        <w:rPr>
          <w:rFonts w:ascii="Calibri" w:hAnsi="Calibri"/>
          <w:color w:val="0B2545"/>
          <w:sz w:val="21"/>
        </w:rPr>
        <w:t>Five report texts are controlled, two court receipts point to report texts not located, and one later/final-report family remains open. / Se controlan cinco textos, dos recepciones judiciales remiten a informes no localizados y queda abierta una familia de informes posteriores/finales.</w:t>
      </w:r>
    </w:p>
    <w:p>
      <w:pPr>
        <w:pStyle w:val="Heading2"/>
      </w:pPr>
      <w:r>
        <w:t>Controlled report texts / Textos controlados</w:t>
      </w:r>
    </w:p>
    <w:tbl>
      <w:tblPr>
        <w:tblStyle w:val="TableGrid"/>
        <w:tblW w:type="dxa" w:w="9360"/>
        <w:tblLayout w:type="fixed"/>
        <w:tblLook w:firstColumn="1" w:firstRow="1" w:lastColumn="0" w:lastRow="0" w:noHBand="0" w:noVBand="1" w:val="04A0"/>
        <w:jc w:val="left"/>
        <w:tblInd w:w="120" w:type="dxa"/>
      </w:tblPr>
      <w:tblGrid>
        <w:gridCol w:w="2000"/>
        <w:gridCol w:w="4300"/>
        <w:gridCol w:w="3060"/>
      </w:tblGrid>
      <w:tr>
        <w:trPr>
          <w:tblHeader w:val="true"/>
          <w:cantSplit/>
        </w:trPr>
        <w:tc>
          <w:tcPr>
            <w:tcW w:type="dxa" w:w="2000"/>
            <w:tcMar>
              <w:top w:w="80" w:type="dxa"/>
              <w:start w:w="120" w:type="dxa"/>
              <w:bottom w:w="80" w:type="dxa"/>
              <w:end w:w="120" w:type="dxa"/>
            </w:tcMar>
            <w:vAlign w:val="center"/>
            <w:shd w:fill="F2F4F7"/>
          </w:tcPr>
          <w:p>
            <w:pPr>
              <w:spacing w:after="0"/>
            </w:pPr>
            <w:r>
              <w:rPr>
                <w:rFonts w:ascii="Calibri" w:hAnsi="Calibri"/>
                <w:b/>
                <w:color w:val="0B2545"/>
                <w:sz w:val="19"/>
              </w:rPr>
              <w:t>Date + ID / Fecha + ID</w:t>
            </w:r>
          </w:p>
        </w:tc>
        <w:tc>
          <w:tcPr>
            <w:tcW w:type="dxa" w:w="4300"/>
            <w:tcMar>
              <w:top w:w="80" w:type="dxa"/>
              <w:start w:w="120" w:type="dxa"/>
              <w:bottom w:w="80" w:type="dxa"/>
              <w:end w:w="120" w:type="dxa"/>
            </w:tcMar>
            <w:vAlign w:val="center"/>
            <w:shd w:fill="F2F4F7"/>
          </w:tcPr>
          <w:p>
            <w:pPr>
              <w:spacing w:after="0"/>
            </w:pPr>
            <w:r>
              <w:rPr>
                <w:rFonts w:ascii="Calibri" w:hAnsi="Calibri"/>
                <w:b/>
                <w:color w:val="0B2545"/>
                <w:sz w:val="19"/>
              </w:rPr>
              <w:t>Report / Informe</w:t>
            </w:r>
          </w:p>
        </w:tc>
        <w:tc>
          <w:tcPr>
            <w:tcW w:type="dxa" w:w="3060"/>
            <w:tcMar>
              <w:top w:w="80" w:type="dxa"/>
              <w:start w:w="120" w:type="dxa"/>
              <w:bottom w:w="80" w:type="dxa"/>
              <w:end w:w="120" w:type="dxa"/>
            </w:tcMar>
            <w:vAlign w:val="center"/>
            <w:shd w:fill="F2F4F7"/>
          </w:tcPr>
          <w:p>
            <w:pPr>
              <w:spacing w:after="0"/>
            </w:pPr>
            <w:r>
              <w:rPr>
                <w:rFonts w:ascii="Calibri" w:hAnsi="Calibri"/>
                <w:b/>
                <w:color w:val="0B2545"/>
                <w:sz w:val="19"/>
              </w:rPr>
              <w:t>Control state / Estado</w:t>
            </w:r>
          </w:p>
        </w:tc>
      </w:tr>
      <w:tr>
        <w:trPr>
          <w:cantSplit/>
        </w:trPr>
        <w:tc>
          <w:tcPr>
            <w:tcW w:type="dxa" w:w="2000"/>
            <w:tcMar>
              <w:top w:w="80" w:type="dxa"/>
              <w:start w:w="120" w:type="dxa"/>
              <w:bottom w:w="80" w:type="dxa"/>
              <w:end w:w="120" w:type="dxa"/>
            </w:tcMar>
            <w:vAlign w:val="center"/>
          </w:tcPr>
          <w:p>
            <w:pPr>
              <w:spacing w:after="0"/>
            </w:pPr>
            <w:r>
              <w:rPr>
                <w:rFonts w:ascii="Calibri" w:hAnsi="Calibri"/>
                <w:color w:val="0B2545"/>
                <w:sz w:val="18"/>
              </w:rPr>
              <w:t>2018-12-20</w:t>
              <w:br/>
              <w:t>C36-E021</w:t>
            </w:r>
          </w:p>
        </w:tc>
        <w:tc>
          <w:tcPr>
            <w:tcW w:type="dxa" w:w="4300"/>
            <w:tcMar>
              <w:top w:w="80" w:type="dxa"/>
              <w:start w:w="120" w:type="dxa"/>
              <w:bottom w:w="80" w:type="dxa"/>
              <w:end w:w="120" w:type="dxa"/>
            </w:tcMar>
            <w:vAlign w:val="center"/>
          </w:tcPr>
          <w:p>
            <w:pPr>
              <w:spacing w:after="0"/>
            </w:pPr>
            <w:r>
              <w:rPr>
                <w:rFonts w:ascii="Calibri" w:hAnsi="Calibri"/>
                <w:color w:val="0B2545"/>
                <w:sz w:val="18"/>
              </w:rPr>
              <w:t>Fourth quarterly liquidation report / Cuarto informe trimestral de liquidación</w:t>
            </w:r>
          </w:p>
        </w:tc>
        <w:tc>
          <w:tcPr>
            <w:tcW w:type="dxa" w:w="3060"/>
            <w:tcMar>
              <w:top w:w="80" w:type="dxa"/>
              <w:start w:w="120" w:type="dxa"/>
              <w:bottom w:w="80" w:type="dxa"/>
              <w:end w:w="120" w:type="dxa"/>
            </w:tcMar>
            <w:vAlign w:val="center"/>
          </w:tcPr>
          <w:p>
            <w:pPr>
              <w:spacing w:after="0"/>
            </w:pPr>
            <w:r>
              <w:rPr>
                <w:rFonts w:ascii="Calibri" w:hAnsi="Calibri"/>
                <w:color w:val="0B2545"/>
                <w:sz w:val="18"/>
              </w:rPr>
              <w:t>Text controlled; annex/bank reconciliation open / Texto controlado; anexos/banco abiertos</w:t>
            </w:r>
          </w:p>
        </w:tc>
      </w:tr>
      <w:tr>
        <w:trPr>
          <w:cantSplit/>
        </w:trPr>
        <w:tc>
          <w:tcPr>
            <w:tcW w:type="dxa" w:w="2000"/>
            <w:tcMar>
              <w:top w:w="80" w:type="dxa"/>
              <w:start w:w="120" w:type="dxa"/>
              <w:bottom w:w="80" w:type="dxa"/>
              <w:end w:w="120" w:type="dxa"/>
            </w:tcMar>
            <w:vAlign w:val="center"/>
          </w:tcPr>
          <w:p>
            <w:pPr>
              <w:spacing w:after="0"/>
            </w:pPr>
            <w:r>
              <w:rPr>
                <w:rFonts w:ascii="Calibri" w:hAnsi="Calibri"/>
                <w:color w:val="0B2545"/>
                <w:sz w:val="18"/>
              </w:rPr>
              <w:t>2021-07-21</w:t>
              <w:br/>
              <w:t>C36-FIL-2021-07-21-AC-REPORT</w:t>
            </w:r>
          </w:p>
        </w:tc>
        <w:tc>
          <w:tcPr>
            <w:tcW w:type="dxa" w:w="4300"/>
            <w:tcMar>
              <w:top w:w="80" w:type="dxa"/>
              <w:start w:w="120" w:type="dxa"/>
              <w:bottom w:w="80" w:type="dxa"/>
              <w:end w:w="120" w:type="dxa"/>
            </w:tcMar>
            <w:vAlign w:val="center"/>
          </w:tcPr>
          <w:p>
            <w:pPr>
              <w:spacing w:after="0"/>
            </w:pPr>
            <w:r>
              <w:rPr>
                <w:rFonts w:ascii="Calibri" w:hAnsi="Calibri"/>
                <w:color w:val="0B2545"/>
                <w:sz w:val="18"/>
              </w:rPr>
              <w:t>Insolvency Administration report under Article 424 TRLC / Informe de la Administración Concursal conforme al artículo 424 TRLC</w:t>
            </w:r>
          </w:p>
        </w:tc>
        <w:tc>
          <w:tcPr>
            <w:tcW w:type="dxa" w:w="3060"/>
            <w:tcMar>
              <w:top w:w="80" w:type="dxa"/>
              <w:start w:w="120" w:type="dxa"/>
              <w:bottom w:w="80" w:type="dxa"/>
              <w:end w:w="120" w:type="dxa"/>
            </w:tcMar>
            <w:vAlign w:val="center"/>
          </w:tcPr>
          <w:p>
            <w:pPr>
              <w:spacing w:after="0"/>
            </w:pPr>
            <w:r>
              <w:rPr>
                <w:rFonts w:ascii="Calibri" w:hAnsi="Calibri"/>
                <w:color w:val="0B2545"/>
                <w:sz w:val="18"/>
              </w:rPr>
              <w:t>Text controlled; separate classification lane / Texto controlado; vía de calificación separada</w:t>
            </w:r>
          </w:p>
        </w:tc>
      </w:tr>
      <w:tr>
        <w:trPr>
          <w:cantSplit/>
        </w:trPr>
        <w:tc>
          <w:tcPr>
            <w:tcW w:type="dxa" w:w="2000"/>
            <w:tcMar>
              <w:top w:w="80" w:type="dxa"/>
              <w:start w:w="120" w:type="dxa"/>
              <w:bottom w:w="80" w:type="dxa"/>
              <w:end w:w="120" w:type="dxa"/>
            </w:tcMar>
            <w:vAlign w:val="center"/>
          </w:tcPr>
          <w:p>
            <w:pPr>
              <w:spacing w:after="0"/>
            </w:pPr>
            <w:r>
              <w:rPr>
                <w:rFonts w:ascii="Calibri" w:hAnsi="Calibri"/>
                <w:color w:val="0B2545"/>
                <w:sz w:val="18"/>
              </w:rPr>
              <w:t>2021-10-25</w:t>
              <w:br/>
              <w:t>C36-FIL-2021-10-25-AC-REPORT</w:t>
            </w:r>
          </w:p>
        </w:tc>
        <w:tc>
          <w:tcPr>
            <w:tcW w:type="dxa" w:w="4300"/>
            <w:tcMar>
              <w:top w:w="80" w:type="dxa"/>
              <w:start w:w="120" w:type="dxa"/>
              <w:bottom w:w="80" w:type="dxa"/>
              <w:end w:w="120" w:type="dxa"/>
            </w:tcMar>
            <w:vAlign w:val="center"/>
          </w:tcPr>
          <w:p>
            <w:pPr>
              <w:spacing w:after="0"/>
            </w:pPr>
            <w:r>
              <w:rPr>
                <w:rFonts w:ascii="Calibri" w:hAnsi="Calibri"/>
                <w:color w:val="0B2545"/>
                <w:sz w:val="18"/>
              </w:rPr>
              <w:t>Further Insolvency Administration report under Article 424 TRLC / Informe adicional de la Administración Concursal conforme al artículo 424 TRLC</w:t>
            </w:r>
          </w:p>
        </w:tc>
        <w:tc>
          <w:tcPr>
            <w:tcW w:type="dxa" w:w="3060"/>
            <w:tcMar>
              <w:top w:w="80" w:type="dxa"/>
              <w:start w:w="120" w:type="dxa"/>
              <w:bottom w:w="80" w:type="dxa"/>
              <w:end w:w="120" w:type="dxa"/>
            </w:tcMar>
            <w:vAlign w:val="center"/>
          </w:tcPr>
          <w:p>
            <w:pPr>
              <w:spacing w:after="0"/>
            </w:pPr>
            <w:r>
              <w:rPr>
                <w:rFonts w:ascii="Calibri" w:hAnsi="Calibri"/>
                <w:color w:val="0B2545"/>
                <w:sz w:val="18"/>
              </w:rPr>
              <w:t>Text controlled; separate classification lane / Texto controlado; vía de calificación separada</w:t>
            </w:r>
          </w:p>
        </w:tc>
      </w:tr>
      <w:tr>
        <w:trPr>
          <w:cantSplit/>
        </w:trPr>
        <w:tc>
          <w:tcPr>
            <w:tcW w:type="dxa" w:w="2000"/>
            <w:tcMar>
              <w:top w:w="80" w:type="dxa"/>
              <w:start w:w="120" w:type="dxa"/>
              <w:bottom w:w="80" w:type="dxa"/>
              <w:end w:w="120" w:type="dxa"/>
            </w:tcMar>
            <w:vAlign w:val="center"/>
          </w:tcPr>
          <w:p>
            <w:pPr>
              <w:spacing w:after="0"/>
            </w:pPr>
            <w:r>
              <w:rPr>
                <w:rFonts w:ascii="Calibri" w:hAnsi="Calibri"/>
                <w:color w:val="0B2545"/>
                <w:sz w:val="18"/>
              </w:rPr>
              <w:t>2022-01-25</w:t>
              <w:br/>
              <w:t>C36-E049</w:t>
            </w:r>
          </w:p>
        </w:tc>
        <w:tc>
          <w:tcPr>
            <w:tcW w:type="dxa" w:w="4300"/>
            <w:tcMar>
              <w:top w:w="80" w:type="dxa"/>
              <w:start w:w="120" w:type="dxa"/>
              <w:bottom w:w="80" w:type="dxa"/>
              <w:end w:w="120" w:type="dxa"/>
            </w:tcMar>
            <w:vAlign w:val="center"/>
          </w:tcPr>
          <w:p>
            <w:pPr>
              <w:spacing w:after="0"/>
            </w:pPr>
            <w:r>
              <w:rPr>
                <w:rFonts w:ascii="Calibri" w:hAnsi="Calibri"/>
                <w:color w:val="0B2545"/>
                <w:sz w:val="18"/>
              </w:rPr>
              <w:t>Quarterly report before the dation and estate-claim accounting / Informe trimestral previo a la dación y contabilidad de créditos contra la masa</w:t>
            </w:r>
          </w:p>
        </w:tc>
        <w:tc>
          <w:tcPr>
            <w:tcW w:type="dxa" w:w="3060"/>
            <w:tcMar>
              <w:top w:w="80" w:type="dxa"/>
              <w:start w:w="120" w:type="dxa"/>
              <w:bottom w:w="80" w:type="dxa"/>
              <w:end w:w="120" w:type="dxa"/>
            </w:tcMar>
            <w:vAlign w:val="center"/>
          </w:tcPr>
          <w:p>
            <w:pPr>
              <w:spacing w:after="0"/>
            </w:pPr>
            <w:r>
              <w:rPr>
                <w:rFonts w:ascii="Calibri" w:hAnsi="Calibri"/>
                <w:color w:val="0B2545"/>
                <w:sz w:val="18"/>
              </w:rPr>
              <w:t>Text controlled; post-deed accounts open / Texto controlado; cuentas posteriores abiertas</w:t>
            </w:r>
          </w:p>
        </w:tc>
      </w:tr>
      <w:tr>
        <w:trPr>
          <w:cantSplit/>
        </w:trPr>
        <w:tc>
          <w:tcPr>
            <w:tcW w:type="dxa" w:w="2000"/>
            <w:tcMar>
              <w:top w:w="80" w:type="dxa"/>
              <w:start w:w="120" w:type="dxa"/>
              <w:bottom w:w="80" w:type="dxa"/>
              <w:end w:w="120" w:type="dxa"/>
            </w:tcMar>
            <w:vAlign w:val="center"/>
          </w:tcPr>
          <w:p>
            <w:pPr>
              <w:spacing w:after="0"/>
            </w:pPr>
            <w:r>
              <w:rPr>
                <w:rFonts w:ascii="Calibri" w:hAnsi="Calibri"/>
                <w:color w:val="0B2545"/>
                <w:sz w:val="18"/>
              </w:rPr>
              <w:t>2022-04-25</w:t>
              <w:br/>
              <w:t>C36-ACR-2022-04-25</w:t>
            </w:r>
          </w:p>
        </w:tc>
        <w:tc>
          <w:tcPr>
            <w:tcW w:type="dxa" w:w="4300"/>
            <w:tcMar>
              <w:top w:w="80" w:type="dxa"/>
              <w:start w:w="120" w:type="dxa"/>
              <w:bottom w:w="80" w:type="dxa"/>
              <w:end w:w="120" w:type="dxa"/>
            </w:tcMar>
            <w:vAlign w:val="center"/>
          </w:tcPr>
          <w:p>
            <w:pPr>
              <w:spacing w:after="0"/>
            </w:pPr>
            <w:r>
              <w:rPr>
                <w:rFonts w:ascii="Calibri" w:hAnsi="Calibri"/>
                <w:color w:val="0B2545"/>
                <w:sz w:val="18"/>
              </w:rPr>
              <w:t>Quarterly report following Protocol 457 / Informe trimestral posterior al Protocolo 457</w:t>
            </w:r>
          </w:p>
        </w:tc>
        <w:tc>
          <w:tcPr>
            <w:tcW w:type="dxa" w:w="3060"/>
            <w:tcMar>
              <w:top w:w="80" w:type="dxa"/>
              <w:start w:w="120" w:type="dxa"/>
              <w:bottom w:w="80" w:type="dxa"/>
              <w:end w:w="120" w:type="dxa"/>
            </w:tcMar>
            <w:vAlign w:val="center"/>
          </w:tcPr>
          <w:p>
            <w:pPr>
              <w:spacing w:after="0"/>
            </w:pPr>
            <w:r>
              <w:rPr>
                <w:rFonts w:ascii="Calibri" w:hAnsi="Calibri"/>
                <w:color w:val="0B2545"/>
                <w:sz w:val="18"/>
              </w:rPr>
              <w:t>Text controlled; independent accounting proof open / Texto controlado; prueba contable independiente abierta</w:t>
            </w:r>
          </w:p>
        </w:tc>
      </w:tr>
    </w:tbl>
    <w:p>
      <w:pPr>
        <w:pStyle w:val="Heading2"/>
      </w:pPr>
      <w:r>
        <w:t>Receipt-only and open records / Recepciones y registros abiertos</w:t>
      </w:r>
    </w:p>
    <w:tbl>
      <w:tblPr>
        <w:tblStyle w:val="TableGrid"/>
        <w:tblW w:type="dxa" w:w="9360"/>
        <w:tblLayout w:type="fixed"/>
        <w:tblLook w:firstColumn="1" w:firstRow="1" w:lastColumn="0" w:lastRow="0" w:noHBand="0" w:noVBand="1" w:val="04A0"/>
        <w:jc w:val="left"/>
        <w:tblInd w:w="120" w:type="dxa"/>
      </w:tblPr>
      <w:tblGrid>
        <w:gridCol w:w="2000"/>
        <w:gridCol w:w="4300"/>
        <w:gridCol w:w="3060"/>
      </w:tblGrid>
      <w:tr>
        <w:trPr>
          <w:tblHeader w:val="true"/>
          <w:cantSplit/>
        </w:trPr>
        <w:tc>
          <w:tcPr>
            <w:tcW w:type="dxa" w:w="2000"/>
            <w:tcMar>
              <w:top w:w="80" w:type="dxa"/>
              <w:start w:w="120" w:type="dxa"/>
              <w:bottom w:w="80" w:type="dxa"/>
              <w:end w:w="120" w:type="dxa"/>
            </w:tcMar>
            <w:vAlign w:val="center"/>
            <w:shd w:fill="F2F4F7"/>
          </w:tcPr>
          <w:p>
            <w:pPr>
              <w:spacing w:after="0"/>
            </w:pPr>
            <w:r>
              <w:rPr>
                <w:rFonts w:ascii="Calibri" w:hAnsi="Calibri"/>
                <w:b/>
                <w:color w:val="0B2545"/>
                <w:sz w:val="19"/>
              </w:rPr>
              <w:t>Date + ID / Fecha + ID</w:t>
            </w:r>
          </w:p>
        </w:tc>
        <w:tc>
          <w:tcPr>
            <w:tcW w:type="dxa" w:w="4300"/>
            <w:tcMar>
              <w:top w:w="80" w:type="dxa"/>
              <w:start w:w="120" w:type="dxa"/>
              <w:bottom w:w="80" w:type="dxa"/>
              <w:end w:w="120" w:type="dxa"/>
            </w:tcMar>
            <w:vAlign w:val="center"/>
            <w:shd w:fill="F2F4F7"/>
          </w:tcPr>
          <w:p>
            <w:pPr>
              <w:spacing w:after="0"/>
            </w:pPr>
            <w:r>
              <w:rPr>
                <w:rFonts w:ascii="Calibri" w:hAnsi="Calibri"/>
                <w:b/>
                <w:color w:val="0B2545"/>
                <w:sz w:val="19"/>
              </w:rPr>
              <w:t>Report / Informe</w:t>
            </w:r>
          </w:p>
        </w:tc>
        <w:tc>
          <w:tcPr>
            <w:tcW w:type="dxa" w:w="3060"/>
            <w:tcMar>
              <w:top w:w="80" w:type="dxa"/>
              <w:start w:w="120" w:type="dxa"/>
              <w:bottom w:w="80" w:type="dxa"/>
              <w:end w:w="120" w:type="dxa"/>
            </w:tcMar>
            <w:vAlign w:val="center"/>
            <w:shd w:fill="F2F4F7"/>
          </w:tcPr>
          <w:p>
            <w:pPr>
              <w:spacing w:after="0"/>
            </w:pPr>
            <w:r>
              <w:rPr>
                <w:rFonts w:ascii="Calibri" w:hAnsi="Calibri"/>
                <w:b/>
                <w:color w:val="0B2545"/>
                <w:sz w:val="19"/>
              </w:rPr>
              <w:t>Control state / Estado</w:t>
            </w:r>
          </w:p>
        </w:tc>
      </w:tr>
      <w:tr>
        <w:trPr>
          <w:cantSplit/>
        </w:trPr>
        <w:tc>
          <w:tcPr>
            <w:tcW w:type="dxa" w:w="2000"/>
            <w:tcMar>
              <w:top w:w="80" w:type="dxa"/>
              <w:start w:w="120" w:type="dxa"/>
              <w:bottom w:w="80" w:type="dxa"/>
              <w:end w:w="120" w:type="dxa"/>
            </w:tcMar>
            <w:vAlign w:val="center"/>
          </w:tcPr>
          <w:p>
            <w:pPr>
              <w:spacing w:after="0"/>
            </w:pPr>
            <w:r>
              <w:rPr>
                <w:rFonts w:ascii="Calibri" w:hAnsi="Calibri"/>
                <w:color w:val="0B2545"/>
                <w:sz w:val="18"/>
              </w:rPr>
              <w:t>2021-10-27</w:t>
              <w:br/>
              <w:t>C36-ACR-7425-2021</w:t>
            </w:r>
          </w:p>
        </w:tc>
        <w:tc>
          <w:tcPr>
            <w:tcW w:type="dxa" w:w="4300"/>
            <w:tcMar>
              <w:top w:w="80" w:type="dxa"/>
              <w:start w:w="120" w:type="dxa"/>
              <w:bottom w:w="80" w:type="dxa"/>
              <w:end w:w="120" w:type="dxa"/>
            </w:tcMar>
            <w:vAlign w:val="center"/>
          </w:tcPr>
          <w:p>
            <w:pPr>
              <w:spacing w:after="0"/>
            </w:pPr>
            <w:r>
              <w:rPr>
                <w:rFonts w:ascii="Calibri" w:hAnsi="Calibri"/>
                <w:color w:val="0B2545"/>
                <w:sz w:val="18"/>
              </w:rPr>
              <w:t>Quarterly report 7425/2021 / Informe trimestral 7425/2021</w:t>
            </w:r>
          </w:p>
        </w:tc>
        <w:tc>
          <w:tcPr>
            <w:tcW w:type="dxa" w:w="3060"/>
            <w:tcMar>
              <w:top w:w="80" w:type="dxa"/>
              <w:start w:w="120" w:type="dxa"/>
              <w:bottom w:w="80" w:type="dxa"/>
              <w:end w:w="120" w:type="dxa"/>
            </w:tcMar>
            <w:vAlign w:val="center"/>
          </w:tcPr>
          <w:p>
            <w:pPr>
              <w:spacing w:after="0"/>
            </w:pPr>
            <w:r>
              <w:rPr>
                <w:rFonts w:ascii="Calibri" w:hAnsi="Calibri"/>
                <w:color w:val="0B2545"/>
                <w:sz w:val="18"/>
              </w:rPr>
              <w:t>Court receipt controlled; report not located / Recepción controlada; informe no localizado</w:t>
            </w:r>
          </w:p>
        </w:tc>
      </w:tr>
      <w:tr>
        <w:trPr>
          <w:cantSplit/>
        </w:trPr>
        <w:tc>
          <w:tcPr>
            <w:tcW w:type="dxa" w:w="2000"/>
            <w:tcMar>
              <w:top w:w="80" w:type="dxa"/>
              <w:start w:w="120" w:type="dxa"/>
              <w:bottom w:w="80" w:type="dxa"/>
              <w:end w:w="120" w:type="dxa"/>
            </w:tcMar>
            <w:vAlign w:val="center"/>
          </w:tcPr>
          <w:p>
            <w:pPr>
              <w:spacing w:after="0"/>
            </w:pPr>
            <w:r>
              <w:rPr>
                <w:rFonts w:ascii="Calibri" w:hAnsi="Calibri"/>
                <w:color w:val="0B2545"/>
                <w:sz w:val="18"/>
              </w:rPr>
              <w:t>2022-07-27</w:t>
              <w:br/>
              <w:t>C36-ACR-5367-2022</w:t>
            </w:r>
          </w:p>
        </w:tc>
        <w:tc>
          <w:tcPr>
            <w:tcW w:type="dxa" w:w="4300"/>
            <w:tcMar>
              <w:top w:w="80" w:type="dxa"/>
              <w:start w:w="120" w:type="dxa"/>
              <w:bottom w:w="80" w:type="dxa"/>
              <w:end w:w="120" w:type="dxa"/>
            </w:tcMar>
            <w:vAlign w:val="center"/>
          </w:tcPr>
          <w:p>
            <w:pPr>
              <w:spacing w:after="0"/>
            </w:pPr>
            <w:r>
              <w:rPr>
                <w:rFonts w:ascii="Calibri" w:hAnsi="Calibri"/>
                <w:color w:val="0B2545"/>
                <w:sz w:val="18"/>
              </w:rPr>
              <w:t>Quarterly report registered as 5367/2022 / Informe trimestral registrado 5367/2022</w:t>
            </w:r>
          </w:p>
        </w:tc>
        <w:tc>
          <w:tcPr>
            <w:tcW w:type="dxa" w:w="3060"/>
            <w:tcMar>
              <w:top w:w="80" w:type="dxa"/>
              <w:start w:w="120" w:type="dxa"/>
              <w:bottom w:w="80" w:type="dxa"/>
              <w:end w:w="120" w:type="dxa"/>
            </w:tcMar>
            <w:vAlign w:val="center"/>
          </w:tcPr>
          <w:p>
            <w:pPr>
              <w:spacing w:after="0"/>
            </w:pPr>
            <w:r>
              <w:rPr>
                <w:rFonts w:ascii="Calibri" w:hAnsi="Calibri"/>
                <w:color w:val="0B2545"/>
                <w:sz w:val="18"/>
              </w:rPr>
              <w:t>Court receipt controlled; report not located / Recepción controlada; informe no localizado</w:t>
            </w:r>
          </w:p>
        </w:tc>
      </w:tr>
      <w:tr>
        <w:trPr>
          <w:cantSplit/>
        </w:trPr>
        <w:tc>
          <w:tcPr>
            <w:tcW w:type="dxa" w:w="2000"/>
            <w:tcMar>
              <w:top w:w="80" w:type="dxa"/>
              <w:start w:w="120" w:type="dxa"/>
              <w:bottom w:w="80" w:type="dxa"/>
              <w:end w:w="120" w:type="dxa"/>
            </w:tcMar>
            <w:vAlign w:val="center"/>
          </w:tcPr>
          <w:p>
            <w:pPr>
              <w:spacing w:after="0"/>
            </w:pPr>
            <w:r>
              <w:rPr>
                <w:rFonts w:ascii="Calibri" w:hAnsi="Calibri"/>
                <w:color w:val="0B2545"/>
                <w:sz w:val="18"/>
              </w:rPr>
              <w:t>Undated / Sin fecha</w:t>
              <w:br/>
              <w:t>C36-ACR-LATER-FINAL</w:t>
            </w:r>
          </w:p>
        </w:tc>
        <w:tc>
          <w:tcPr>
            <w:tcW w:type="dxa" w:w="4300"/>
            <w:tcMar>
              <w:top w:w="80" w:type="dxa"/>
              <w:start w:w="120" w:type="dxa"/>
              <w:bottom w:w="80" w:type="dxa"/>
              <w:end w:w="120" w:type="dxa"/>
            </w:tcMar>
            <w:vAlign w:val="center"/>
          </w:tcPr>
          <w:p>
            <w:pPr>
              <w:spacing w:after="0"/>
            </w:pPr>
            <w:r>
              <w:rPr>
                <w:rFonts w:ascii="Calibri" w:hAnsi="Calibri"/>
                <w:color w:val="0B2545"/>
                <w:sz w:val="18"/>
              </w:rPr>
              <w:t>Later reports, final report and final accounts / Informes posteriores, informe final y rendición de cuentas</w:t>
            </w:r>
          </w:p>
        </w:tc>
        <w:tc>
          <w:tcPr>
            <w:tcW w:type="dxa" w:w="3060"/>
            <w:tcMar>
              <w:top w:w="80" w:type="dxa"/>
              <w:start w:w="120" w:type="dxa"/>
              <w:bottom w:w="80" w:type="dxa"/>
              <w:end w:w="120" w:type="dxa"/>
            </w:tcMar>
            <w:vAlign w:val="center"/>
          </w:tcPr>
          <w:p>
            <w:pPr>
              <w:spacing w:after="0"/>
            </w:pPr>
            <w:r>
              <w:rPr>
                <w:rFonts w:ascii="Calibri" w:hAnsi="Calibri"/>
                <w:color w:val="0B2545"/>
                <w:sz w:val="18"/>
              </w:rPr>
              <w:t>Later/final series open; certified denominator required / Serie posterior/final abierta; falta denominador certificado</w:t>
            </w:r>
          </w:p>
        </w:tc>
      </w:tr>
    </w:tbl>
    <w:p>
      <w:pPr>
        <w:spacing w:before="80"/>
      </w:pPr>
      <w:r>
        <w:rPr>
          <w:rFonts w:ascii="Calibri" w:hAnsi="Calibri"/>
          <w:b/>
          <w:color w:val="5E6B78"/>
          <w:sz w:val="19"/>
        </w:rPr>
        <w:t xml:space="preserve">Closure test / Prueba de cierre: </w:t>
      </w:r>
      <w:r>
        <w:rPr>
          <w:rFonts w:ascii="Calibri" w:hAnsi="Calibri"/>
          <w:color w:val="5E6B78"/>
          <w:sz w:val="19"/>
        </w:rPr>
        <w:t>certified index of every report and annex from liquidation opening through conclusion; filing/transfer records; challenges and rulings; estate ledger; bank statements; final accounts and conclusion act.</w:t>
      </w:r>
    </w:p>
    <w:p>
      <w:pPr>
        <w:pStyle w:val="Heading1"/>
      </w:pPr>
      <w:r>
        <w:t>5. Priority gaps / Vacíos prioritarios</w:t>
      </w:r>
    </w:p>
    <w:p>
      <w:pPr>
        <w:pStyle w:val="ListBullet"/>
      </w:pPr>
      <w:r>
        <w:rPr>
          <w:rFonts w:ascii="Calibri" w:hAnsi="Calibri"/>
          <w:color w:val="0B2545"/>
          <w:sz w:val="22"/>
        </w:rPr>
        <w:t>Certified chronological court/LAJ denominator from 1 January 2014 through conclusion.</w:t>
      </w:r>
    </w:p>
    <w:p>
      <w:pPr>
        <w:pStyle w:val="ListBullet"/>
      </w:pPr>
      <w:r>
        <w:rPr>
          <w:rFonts w:ascii="Calibri" w:hAnsi="Calibri"/>
          <w:color w:val="0B2545"/>
          <w:sz w:val="22"/>
        </w:rPr>
        <w:t>Signed originals and complete families for C36-E004, E031, E034, E045, E056, E060, E062 and E063.</w:t>
      </w:r>
    </w:p>
    <w:p>
      <w:pPr>
        <w:pStyle w:val="ListBullet"/>
      </w:pPr>
      <w:r>
        <w:rPr>
          <w:rFonts w:ascii="Calibri" w:hAnsi="Calibri"/>
          <w:color w:val="0B2545"/>
          <w:sz w:val="22"/>
        </w:rPr>
        <w:t>Assignment of references 204/14, 677/14, 2418/14 and 5599/2015 to the correct court, class, object and parent proceeding.</w:t>
      </w:r>
    </w:p>
    <w:p>
      <w:pPr>
        <w:pStyle w:val="ListBullet"/>
      </w:pPr>
      <w:r>
        <w:rPr>
          <w:rFonts w:ascii="Calibri" w:hAnsi="Calibri"/>
          <w:color w:val="0B2545"/>
          <w:sz w:val="22"/>
        </w:rPr>
        <w:t>Direct reinspection of the C36-E007 date layers without inferring a separate 8 February act.</w:t>
      </w:r>
    </w:p>
    <w:p>
      <w:pPr>
        <w:pStyle w:val="ListBullet"/>
      </w:pPr>
      <w:r>
        <w:rPr>
          <w:rFonts w:ascii="Calibri" w:hAnsi="Calibri"/>
          <w:color w:val="0B2545"/>
          <w:sz w:val="22"/>
        </w:rPr>
        <w:t>Underlying filings/testimonies and report 7425/2021 for the 25/27 October 2021 court-office acts.</w:t>
      </w:r>
    </w:p>
    <w:p>
      <w:pPr>
        <w:pStyle w:val="ListBullet"/>
      </w:pPr>
      <w:r>
        <w:rPr>
          <w:rFonts w:ascii="Calibri" w:hAnsi="Calibri"/>
          <w:color w:val="0B2545"/>
          <w:sz w:val="22"/>
        </w:rPr>
        <w:t>Official complaint/nullity/Constitutional Court decisions and service/finality for the 2022–2023 review chain.</w:t>
      </w:r>
    </w:p>
    <w:p>
      <w:pPr>
        <w:pStyle w:val="ListBullet"/>
      </w:pPr>
      <w:r>
        <w:rPr>
          <w:rFonts w:ascii="Calibri" w:hAnsi="Calibri"/>
          <w:color w:val="0B2545"/>
          <w:sz w:val="22"/>
        </w:rPr>
        <w:t>Merits, service and finality in RPL 2523/2025, combined RPL 3304/2025 and 3319/2025, and RPL 421/2026.</w:t>
      </w:r>
    </w:p>
    <w:p>
      <w:pPr>
        <w:pStyle w:val="ListBullet"/>
      </w:pPr>
      <w:r>
        <w:rPr>
          <w:rFonts w:ascii="Calibri" w:hAnsi="Calibri"/>
          <w:color w:val="0B2545"/>
          <w:sz w:val="22"/>
        </w:rPr>
        <w:t>Report 5367/2022, all later reports, final report, final accounts, objections, approval/refusal and conclusion order.</w:t>
      </w:r>
    </w:p>
    <w:p>
      <w:pPr>
        <w:pStyle w:val="Heading1"/>
      </w:pPr>
      <w:r>
        <w:t>6. Repository and website update / Actualización</w:t>
      </w:r>
    </w:p>
    <w:tbl>
      <w:tblPr>
        <w:tblStyle w:val="TableGrid"/>
        <w:tblW w:type="dxa" w:w="9360"/>
        <w:tblLayout w:type="fixed"/>
        <w:tblLook w:firstColumn="1" w:firstRow="1" w:lastColumn="0" w:lastRow="0" w:noHBand="0" w:noVBand="1" w:val="04A0"/>
        <w:jc w:val="left"/>
        <w:tblInd w:w="120" w:type="dxa"/>
      </w:tblPr>
      <w:tblGrid>
        <w:gridCol w:w="2350"/>
        <w:gridCol w:w="7010"/>
      </w:tblGrid>
      <w:tr>
        <w:trPr>
          <w:tblHeader w:val="true"/>
          <w:cantSplit/>
        </w:trPr>
        <w:tc>
          <w:tcPr>
            <w:tcW w:type="dxa" w:w="2350"/>
            <w:tcMar>
              <w:top w:w="80" w:type="dxa"/>
              <w:start w:w="120" w:type="dxa"/>
              <w:bottom w:w="80" w:type="dxa"/>
              <w:end w:w="120" w:type="dxa"/>
            </w:tcMar>
            <w:vAlign w:val="center"/>
            <w:shd w:fill="F2F4F7"/>
          </w:tcPr>
          <w:p>
            <w:pPr>
              <w:spacing w:after="0"/>
            </w:pPr>
            <w:r>
              <w:rPr>
                <w:rFonts w:ascii="Calibri" w:hAnsi="Calibri"/>
                <w:b/>
                <w:color w:val="0B2545"/>
                <w:sz w:val="19"/>
              </w:rPr>
              <w:t>Surface / Superficie</w:t>
            </w:r>
          </w:p>
        </w:tc>
        <w:tc>
          <w:tcPr>
            <w:tcW w:type="dxa" w:w="7010"/>
            <w:tcMar>
              <w:top w:w="80" w:type="dxa"/>
              <w:start w:w="120" w:type="dxa"/>
              <w:bottom w:w="80" w:type="dxa"/>
              <w:end w:w="120" w:type="dxa"/>
            </w:tcMar>
            <w:vAlign w:val="center"/>
            <w:shd w:fill="F2F4F7"/>
          </w:tcPr>
          <w:p>
            <w:pPr>
              <w:spacing w:after="0"/>
            </w:pPr>
            <w:r>
              <w:rPr>
                <w:rFonts w:ascii="Calibri" w:hAnsi="Calibri"/>
                <w:b/>
                <w:color w:val="0B2545"/>
                <w:sz w:val="19"/>
              </w:rPr>
              <w:t>Update / Cambio</w:t>
            </w:r>
          </w:p>
        </w:tc>
      </w:tr>
      <w:tr>
        <w:trPr>
          <w:cantSplit/>
        </w:trPr>
        <w:tc>
          <w:tcPr>
            <w:tcW w:type="dxa" w:w="2350"/>
            <w:tcMar>
              <w:top w:w="80" w:type="dxa"/>
              <w:start w:w="120" w:type="dxa"/>
              <w:bottom w:w="80" w:type="dxa"/>
              <w:end w:w="120" w:type="dxa"/>
            </w:tcMar>
            <w:vAlign w:val="center"/>
          </w:tcPr>
          <w:p>
            <w:pPr>
              <w:spacing w:after="0"/>
            </w:pPr>
            <w:r>
              <w:rPr>
                <w:rFonts w:ascii="Calibri" w:hAnsi="Calibri"/>
                <w:color w:val="0B2545"/>
                <w:sz w:val="18"/>
              </w:rPr>
              <w:t>Canonical JSON</w:t>
            </w:r>
          </w:p>
        </w:tc>
        <w:tc>
          <w:tcPr>
            <w:tcW w:type="dxa" w:w="7010"/>
            <w:tcMar>
              <w:top w:w="80" w:type="dxa"/>
              <w:start w:w="120" w:type="dxa"/>
              <w:bottom w:w="80" w:type="dxa"/>
              <w:end w:w="120" w:type="dxa"/>
            </w:tcMar>
            <w:vAlign w:val="center"/>
          </w:tcPr>
          <w:p>
            <w:pPr>
              <w:spacing w:after="0"/>
            </w:pPr>
            <w:r>
              <w:rPr>
                <w:rFonts w:ascii="Calibri" w:hAnsi="Calibri"/>
                <w:color w:val="0B2545"/>
                <w:sz w:val="18"/>
              </w:rPr>
              <w:t>51-row model, bilingual metadata, typed dates, same-date sequence, public-access state, AC-report supplement and reusable prompt.</w:t>
            </w:r>
          </w:p>
        </w:tc>
      </w:tr>
      <w:tr>
        <w:trPr>
          <w:cantSplit/>
        </w:trPr>
        <w:tc>
          <w:tcPr>
            <w:tcW w:type="dxa" w:w="2350"/>
            <w:tcMar>
              <w:top w:w="80" w:type="dxa"/>
              <w:start w:w="120" w:type="dxa"/>
              <w:bottom w:w="80" w:type="dxa"/>
              <w:end w:w="120" w:type="dxa"/>
            </w:tcMar>
            <w:vAlign w:val="center"/>
          </w:tcPr>
          <w:p>
            <w:pPr>
              <w:spacing w:after="0"/>
            </w:pPr>
            <w:r>
              <w:rPr>
                <w:rFonts w:ascii="Calibri" w:hAnsi="Calibri"/>
                <w:color w:val="0B2545"/>
                <w:sz w:val="18"/>
              </w:rPr>
              <w:t>XLSX matrix</w:t>
            </w:r>
          </w:p>
        </w:tc>
        <w:tc>
          <w:tcPr>
            <w:tcW w:type="dxa" w:w="7010"/>
            <w:tcMar>
              <w:top w:w="80" w:type="dxa"/>
              <w:start w:w="120" w:type="dxa"/>
              <w:bottom w:w="80" w:type="dxa"/>
              <w:end w:w="120" w:type="dxa"/>
            </w:tcMar>
            <w:vAlign w:val="center"/>
          </w:tcPr>
          <w:p>
            <w:pPr>
              <w:spacing w:after="0"/>
            </w:pPr>
            <w:r>
              <w:rPr>
                <w:rFonts w:ascii="Calibri" w:hAnsi="Calibri"/>
                <w:color w:val="0B2545"/>
                <w:sz w:val="18"/>
              </w:rPr>
              <w:t>Reproducible workbook with summary, 51-row family matrix and bilingual status legend.</w:t>
            </w:r>
          </w:p>
        </w:tc>
      </w:tr>
      <w:tr>
        <w:trPr>
          <w:cantSplit/>
        </w:trPr>
        <w:tc>
          <w:tcPr>
            <w:tcW w:type="dxa" w:w="2350"/>
            <w:tcMar>
              <w:top w:w="80" w:type="dxa"/>
              <w:start w:w="120" w:type="dxa"/>
              <w:bottom w:w="80" w:type="dxa"/>
              <w:end w:w="120" w:type="dxa"/>
            </w:tcMar>
            <w:vAlign w:val="center"/>
          </w:tcPr>
          <w:p>
            <w:pPr>
              <w:spacing w:after="0"/>
            </w:pPr>
            <w:r>
              <w:rPr>
                <w:rFonts w:ascii="Calibri" w:hAnsi="Calibri"/>
                <w:color w:val="0B2545"/>
                <w:sz w:val="18"/>
              </w:rPr>
              <w:t>DOCX/PDF</w:t>
            </w:r>
          </w:p>
        </w:tc>
        <w:tc>
          <w:tcPr>
            <w:tcW w:type="dxa" w:w="7010"/>
            <w:tcMar>
              <w:top w:w="80" w:type="dxa"/>
              <w:start w:w="120" w:type="dxa"/>
              <w:bottom w:w="80" w:type="dxa"/>
              <w:end w:w="120" w:type="dxa"/>
            </w:tcMar>
            <w:vAlign w:val="center"/>
          </w:tcPr>
          <w:p>
            <w:pPr>
              <w:spacing w:after="0"/>
            </w:pPr>
            <w:r>
              <w:rPr>
                <w:rFonts w:ascii="Calibri" w:hAnsi="Calibri"/>
                <w:color w:val="0B2545"/>
                <w:sz w:val="18"/>
              </w:rPr>
              <w:t>This public-safe bilingual interim assessment, rendered and visually checked.</w:t>
            </w:r>
          </w:p>
        </w:tc>
      </w:tr>
      <w:tr>
        <w:trPr>
          <w:cantSplit/>
        </w:trPr>
        <w:tc>
          <w:tcPr>
            <w:tcW w:type="dxa" w:w="2350"/>
            <w:tcMar>
              <w:top w:w="80" w:type="dxa"/>
              <w:start w:w="120" w:type="dxa"/>
              <w:bottom w:w="80" w:type="dxa"/>
              <w:end w:w="120" w:type="dxa"/>
            </w:tcMar>
            <w:vAlign w:val="center"/>
          </w:tcPr>
          <w:p>
            <w:pPr>
              <w:spacing w:after="0"/>
            </w:pPr>
            <w:r>
              <w:rPr>
                <w:rFonts w:ascii="Calibri" w:hAnsi="Calibri"/>
                <w:color w:val="0B2545"/>
                <w:sz w:val="18"/>
              </w:rPr>
              <w:t>ES/EN routes</w:t>
            </w:r>
          </w:p>
        </w:tc>
        <w:tc>
          <w:tcPr>
            <w:tcW w:type="dxa" w:w="7010"/>
            <w:tcMar>
              <w:top w:w="80" w:type="dxa"/>
              <w:start w:w="120" w:type="dxa"/>
              <w:bottom w:w="80" w:type="dxa"/>
              <w:end w:w="120" w:type="dxa"/>
            </w:tcMar>
            <w:vAlign w:val="center"/>
          </w:tcPr>
          <w:p>
            <w:pPr>
              <w:spacing w:after="0"/>
            </w:pPr>
            <w:r>
              <w:rPr>
                <w:rFonts w:ascii="Calibri" w:hAnsi="Calibri"/>
                <w:color w:val="0B2545"/>
                <w:sz w:val="18"/>
              </w:rPr>
              <w:t>Dynamic 2014–2026 chronology, public-access labels, report downloads and safe transcript navigation.</w:t>
            </w:r>
          </w:p>
        </w:tc>
      </w:tr>
      <w:tr>
        <w:trPr>
          <w:cantSplit/>
        </w:trPr>
        <w:tc>
          <w:tcPr>
            <w:tcW w:type="dxa" w:w="2350"/>
            <w:tcMar>
              <w:top w:w="80" w:type="dxa"/>
              <w:start w:w="120" w:type="dxa"/>
              <w:bottom w:w="80" w:type="dxa"/>
              <w:end w:w="120" w:type="dxa"/>
            </w:tcMar>
            <w:vAlign w:val="center"/>
          </w:tcPr>
          <w:p>
            <w:pPr>
              <w:spacing w:after="0"/>
            </w:pPr>
            <w:r>
              <w:rPr>
                <w:rFonts w:ascii="Calibri" w:hAnsi="Calibri"/>
                <w:color w:val="0B2545"/>
                <w:sz w:val="18"/>
              </w:rPr>
              <w:t>Controls</w:t>
            </w:r>
          </w:p>
        </w:tc>
        <w:tc>
          <w:tcPr>
            <w:tcW w:type="dxa" w:w="7010"/>
            <w:tcMar>
              <w:top w:w="80" w:type="dxa"/>
              <w:start w:w="120" w:type="dxa"/>
              <w:bottom w:w="80" w:type="dxa"/>
              <w:end w:w="120" w:type="dxa"/>
            </w:tcMar>
            <w:vAlign w:val="center"/>
          </w:tcPr>
          <w:p>
            <w:pPr>
              <w:spacing w:after="0"/>
            </w:pPr>
            <w:r>
              <w:rPr>
                <w:rFonts w:ascii="Calibri" w:hAnsi="Calibri"/>
                <w:color w:val="0B2545"/>
                <w:sz w:val="18"/>
              </w:rPr>
              <w:t>Dedicated validation workflow, canonical cross-checks, route-registry discovery and additive maintenance/correction/missing-evidence records.</w:t>
            </w:r>
          </w:p>
        </w:tc>
      </w:tr>
    </w:tbl>
    <w:p>
      <w:pPr>
        <w:pStyle w:val="Heading1"/>
      </w:pPr>
      <w:r>
        <w:t>7. Prepared production request / Solicitud preparada</w:t>
      </w:r>
    </w:p>
    <w:p>
      <w:r>
        <w:rPr>
          <w:rFonts w:ascii="Calibri" w:hAnsi="Calibri"/>
          <w:color w:val="0B2545"/>
          <w:sz w:val="21"/>
        </w:rPr>
        <w:t>En relación con el Concurso Ordinario 36/2012, se solicita testimonio electrónico certificado e índice cronológico íntegro de las resoluciones dictadas desde el 1 de enero de 2014, indicando para cada acto fecha, número, sección o pieza, escrito antecedente, anexos, oposiciones, notificación, recursos, resolución del recurso, firmeza e implementación. La certificación deberá pronunciarse sobre las referencias 204/14, 677/14, 2418/14 y 5599/2015; la cadena 2018–2022; quejas 375/2022 y 379/2022; Sentencia 163/2023 y RPL 2523/2025; RPL 3304/2025, 3319/2025 y 421/2026; y rendición final y conclusión. Deberá indicar también si existe un Auto de 13/01/2022 distinto de los dos Autos de 26/01/2022. La Sentencia 89/2014 se mantiene fuera de esta solicitud concursal por pertenecer a una vía civil separada.</w:t>
      </w:r>
    </w:p>
    <w:p>
      <w:r>
        <w:rPr>
          <w:rFonts w:ascii="Calibri" w:hAnsi="Calibri"/>
          <w:i/>
          <w:color w:val="5E6B78"/>
          <w:sz w:val="21"/>
        </w:rPr>
        <w:t>Request a certified electronic copy and complete chronological index of decisions issued in Insolvency 36/2012 from 1 January 2014, stating for each act its date, number, section or incident, originating filing, annexes, oppositions, service, reviews, appellate decision, finality and implementation. The certification should address references 204/14, 677/14, 2418/14 and 5599/2015; the 2018–2022 chain; complaints 375/2022 and 379/2022; Judgment 163/2023 and RPL 2523/2025; RPL 3304/2025, 3319/2025 and 421/2026; and final accounts and conclusion. It should also state whether an order dated 13 January 2022 exists separately from the two orders dated 26 January 2022. Judgment 89/2014 remains outside this Insolvency request because it belongs to a separate civil lane.</w:t>
      </w:r>
    </w:p>
    <w:p>
      <w:pPr>
        <w:spacing w:before="60" w:after="120"/>
        <w:ind w:left="115" w:right="115"/>
        <w:shd w:fill="F4F6F9"/>
      </w:pPr>
      <w:r>
        <w:rPr>
          <w:rFonts w:ascii="Calibri" w:hAnsi="Calibri"/>
          <w:b/>
          <w:color w:val="1F4D78"/>
          <w:sz w:val="22"/>
        </w:rPr>
        <w:t>Authority boundary / Límite de autorización</w:t>
        <w:br/>
      </w:r>
      <w:r>
        <w:rPr>
          <w:rFonts w:ascii="Calibri" w:hAnsi="Calibri"/>
          <w:color w:val="0B2545"/>
          <w:sz w:val="21"/>
        </w:rPr>
        <w:t>This is a prepared specification only. No email, filing, portal submission or authority contact was sent or authorised. / Es sólo una especificación preparada. No se envió ni autorizó correo, escrito, presentación por portal o contacto con autoridad.</w:t>
      </w:r>
    </w:p>
    <w:p>
      <w:pPr>
        <w:pStyle w:val="Heading1"/>
      </w:pPr>
      <w:r>
        <w:t>8. Reusable prompt / Prompt reutilizable</w:t>
      </w:r>
    </w:p>
    <w:p>
      <w:r>
        <w:rPr>
          <w:rFonts w:ascii="Calibri" w:hAnsi="Calibri"/>
          <w:color w:val="0B2545"/>
          <w:sz w:val="20"/>
        </w:rPr>
        <w:t>Realice una auditoría de continuidad del Concurso 36/2012^ desde el 1 de enero de 2014 hasta el 28 de agosto de 2026. Busque en el repositorio, correo electrónico disponible, Google Drive, hojas de cálculo, PDF y documentos; deduplique por fecha, clase, órgano, asunto, hash y relación procesal. Para cada escrito o resolución cree nodos separados para presentación, recepción, oposición, decisión, notificación, aclaración o reposición, apelación, resolución de apelación, firmeza e implementación/contabilidad. Concilie cada resultado con los registros canónicos; mantenga separadas las resoluciones de igual fecha y los procedimientos contextuales. Audite por separado todos los informes de la Administración Concursal y sus anexos, incluyendo presentación, traslado, impugnaciones, resolución, libro mayor, banco y rendición final. Marque ‘no localizado’ sin inferir inexistencia. Publique sólo IDs estables y derivados seguros: nunca IDs o enlaces privados de email/Drive, direcciones, nombres de archivo privados, códigos, firmas ni originales sin redactar. Entregue una evaluación intermedia, matriz XLSX, informe DOCX/PDF, solicitud de producción preparada y cambios bilingües de repositorio/sitio. No envíe correo, presente escritos ni contacte a terceros sin autorización separada.</w:t>
      </w:r>
    </w:p>
    <w:p>
      <w:r>
        <w:rPr>
          <w:rFonts w:ascii="Calibri" w:hAnsi="Calibri"/>
          <w:i/>
          <w:color w:val="5E6B78"/>
          <w:sz w:val="20"/>
        </w:rPr>
        <w:t>Audit the continuity of Insolvency 36/2012^ from 1 January 2014 through 28 August 2026. Search the repository, available email, Google Drive, spreadsheets, PDFs and documents; deduplicate by date, class, court, subject, hash and procedural relationship. Create separate nodes for each filing, receipt, opposition, decision, service, clarification or review, appeal, appellate decision, finality and implementation/accounting step. Reconcile every result to canonical records; keep same-date decisions and contextual proceedings separate. Audit every Insolvency Administration report and annex as its own series, including filing, transfer, challenge, ruling, general-ledger, bank and final-accounting nodes. Mark ‘not located’ without inferring nonexistence. Publish only stable IDs and public-safe derivatives: never private email/Drive IDs or links, addresses, private filenames, codes, signatures or unredacted originals. Deliver an interim assessment, XLSX matrix, DOCX/PDF report, prepared production request and bilingual repository/site changes. Do not send email, file anything or contact third parties without separate authority.</w:t>
      </w:r>
    </w:p>
    <w:p>
      <w:pPr>
        <w:pStyle w:val="Heading1"/>
      </w:pPr>
      <w:r>
        <w:t>9. Evidential and publication boundary / Límite</w:t>
      </w:r>
    </w:p>
    <w:p>
      <w:pPr>
        <w:spacing w:after="0" w:line="252" w:lineRule="auto"/>
      </w:pPr>
      <w:r>
        <w:rPr>
          <w:rFonts w:ascii="Calibri" w:hAnsi="Calibri"/>
          <w:color w:val="0B2545"/>
          <w:sz w:val="19"/>
        </w:rPr>
        <w:t>A decision copy closes only its copy node, not filings, service, review, finality or implementation/accounting. An AC report proves what was reported, not each underlying financial, bank, title or Registry fact. No unlawfulness, nonexistence, procedural finality or merits outcome is inferred from an unlocated record. This candidate is local and unpublished; no push, pull request, merge, deployment, live verification, email or filing is claimed.</w:t>
      </w:r>
    </w:p>
    <w:sectPr>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Pr>
        <w:rFonts w:ascii="Calibri" w:hAnsi="Calibri"/>
        <w:color w:val="5E6B78"/>
        <w:sz w:val="18"/>
      </w:rPr>
      <w:t xml:space="preserve">Page </w:t>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5E6B78"/>
        <w:sz w:val="17"/>
      </w:rPr>
      <w:t>POR DERECHO · CONCURSO 36/2012^ · CONTINUITY CONTROL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Concurso 36/2012 decision and AC-report continuity assessment, 2014–2026</dc:title>
  <dc:subject>Public-safe interim assessment</dc:subject>
  <dc:creator/>
  <cp:keywords>Concurso 36/2012, continuity audit, court decisions, AC reports</cp:keywords>
  <dc:description>generated by python-docx</dc:description>
  <cp:lastModifiedBy/>
  <cp:revision>1</cp:revision>
  <dcterms:created xsi:type="dcterms:W3CDTF">2013-12-23T23:15:00Z</dcterms:created>
  <dcterms:modified xsi:type="dcterms:W3CDTF">2013-12-23T23:15:00Z</dcterms:modified>
  <cp:category/>
</cp:coreProperties>
</file>